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57" w:rsidRPr="009E7708" w:rsidRDefault="00947657" w:rsidP="00A13F6E">
      <w:pPr>
        <w:spacing w:after="0"/>
        <w:ind w:left="720"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650AF">
        <w:rPr>
          <w:rFonts w:ascii="Times New Roman" w:hAnsi="Times New Roman" w:cs="Times New Roman"/>
          <w:b/>
          <w:sz w:val="24"/>
          <w:szCs w:val="24"/>
          <w:lang w:val="bg-BG"/>
        </w:rPr>
        <w:t>Въпроси</w:t>
      </w:r>
      <w:r w:rsidR="003B6827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Pr="00E650A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предложения и </w:t>
      </w:r>
      <w:r w:rsidR="00C004D9">
        <w:rPr>
          <w:rFonts w:ascii="Times New Roman" w:hAnsi="Times New Roman" w:cs="Times New Roman"/>
          <w:b/>
          <w:sz w:val="24"/>
          <w:szCs w:val="24"/>
          <w:lang w:val="bg-BG"/>
        </w:rPr>
        <w:t>отговори/становища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ПО </w:t>
      </w:r>
      <w:r w:rsidR="00C004D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r w:rsidRPr="00E650A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Насоки за кандидатстване по покана за подбор на проектни предложения </w:t>
      </w:r>
      <w:r w:rsidRPr="00F763F3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7F105A">
        <w:rPr>
          <w:rFonts w:ascii="Times New Roman" w:hAnsi="Times New Roman" w:cs="Times New Roman"/>
          <w:b/>
          <w:sz w:val="24"/>
          <w:szCs w:val="24"/>
          <w:lang w:val="bg-BG"/>
        </w:rPr>
        <w:t>Интегрирани мерки за приобщаване и овластяване на ромите</w:t>
      </w:r>
      <w:r w:rsidRPr="00F763F3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</w:p>
    <w:p w:rsidR="00947657" w:rsidRPr="00947657" w:rsidRDefault="00947657" w:rsidP="00E650A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5809"/>
        <w:gridCol w:w="6259"/>
      </w:tblGrid>
      <w:tr w:rsidR="00C004D9" w:rsidRPr="00947657" w:rsidTr="008B2697">
        <w:tc>
          <w:tcPr>
            <w:tcW w:w="1926" w:type="dxa"/>
          </w:tcPr>
          <w:p w:rsidR="00FA4D5B" w:rsidRPr="006B0DCA" w:rsidRDefault="00BA7A53" w:rsidP="00F818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Община</w:t>
            </w:r>
            <w:r w:rsidR="006B0DC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 Организация</w:t>
            </w:r>
          </w:p>
        </w:tc>
        <w:tc>
          <w:tcPr>
            <w:tcW w:w="5809" w:type="dxa"/>
          </w:tcPr>
          <w:p w:rsidR="00FA4D5B" w:rsidRPr="00947657" w:rsidRDefault="00FA4D5B" w:rsidP="00F818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76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  <w:r w:rsidR="00E1762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 w:rsidRPr="009476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/предложени</w:t>
            </w:r>
            <w:r w:rsidR="00E1762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я/коментари/бележки</w:t>
            </w:r>
          </w:p>
        </w:tc>
        <w:tc>
          <w:tcPr>
            <w:tcW w:w="6259" w:type="dxa"/>
          </w:tcPr>
          <w:p w:rsidR="00FA4D5B" w:rsidRPr="00947657" w:rsidRDefault="00FA4D5B" w:rsidP="00F818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76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Отговор</w:t>
            </w:r>
            <w:r w:rsidR="00B30A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 w:rsidRPr="009476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/становище на ПО</w:t>
            </w:r>
          </w:p>
        </w:tc>
      </w:tr>
      <w:tr w:rsidR="00C004D9" w:rsidRPr="007F105A" w:rsidTr="008B2697">
        <w:tc>
          <w:tcPr>
            <w:tcW w:w="1926" w:type="dxa"/>
          </w:tcPr>
          <w:p w:rsidR="007F105A" w:rsidRPr="00C004D9" w:rsidRDefault="00C004D9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Въпроси, зададени по време на Информационно събитие на 23.07.2021 г. в чат на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809" w:type="dxa"/>
          </w:tcPr>
          <w:p w:rsidR="007F105A" w:rsidRPr="007F105A" w:rsidRDefault="000E4B67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Моля, посочете индикативна дата за стартиране на проекта „не по-рано от“ и индикативна продължителност в месеци.</w:t>
            </w:r>
          </w:p>
        </w:tc>
        <w:tc>
          <w:tcPr>
            <w:tcW w:w="6259" w:type="dxa"/>
          </w:tcPr>
          <w:p w:rsidR="007F105A" w:rsidRPr="007F105A" w:rsidRDefault="000E4B67" w:rsidP="009D21C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Сключването на договори се предвижда в началото на следв</w:t>
            </w:r>
            <w:r w:rsidR="009D21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ащата година. За начало на изпълнението, кандидатите може да заложат индикативен месец март 2022 г. Крайна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дата за допустимост на разходите е 30.04.2024 г.</w:t>
            </w:r>
          </w:p>
        </w:tc>
      </w:tr>
      <w:tr w:rsidR="00C004D9" w:rsidRPr="007F105A" w:rsidTr="008B2697">
        <w:tc>
          <w:tcPr>
            <w:tcW w:w="1926" w:type="dxa"/>
          </w:tcPr>
          <w:p w:rsidR="000E4B67" w:rsidRPr="007F105A" w:rsidRDefault="000E4B67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D21C4" w:rsidRDefault="000E4B67" w:rsidP="009D21C4">
            <w:pPr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Допустим разход ли е закупуването на микробус за предоставяне на мобилна услуга и в кое перо от бюджета трябва да бъде заложено. </w:t>
            </w:r>
          </w:p>
          <w:p w:rsidR="000E4B67" w:rsidRDefault="000E4B67" w:rsidP="009D21C4">
            <w:pPr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Какви разходи са включени в раздел „непреки разходи“? Те доказват ли се с придружаващи документи или се възстановяват на база фиксирани 15% от преките разходи </w:t>
            </w:r>
          </w:p>
        </w:tc>
        <w:tc>
          <w:tcPr>
            <w:tcW w:w="6259" w:type="dxa"/>
          </w:tcPr>
          <w:p w:rsidR="009D21C4" w:rsidRDefault="000E4B67" w:rsidP="009D21C4">
            <w:pPr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Закупуването на микробус е допустим разход, </w:t>
            </w:r>
            <w:r w:rsidR="009D21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случай, че е пряко обвързан с постигане на резултатите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проекта</w:t>
            </w:r>
            <w:r w:rsidR="009D21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е в следствие на възникнала необходимост, обоснована в анализ на нуждите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293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Микробусът </w:t>
            </w:r>
            <w:r w:rsidR="009D21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293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материален актив, т.е. трябва да бъде заложен </w:t>
            </w:r>
            <w:r w:rsidR="00BA2C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293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="009D21C4" w:rsidRPr="009D21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 w:rsidR="009D21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азходи за материални активи</w:t>
            </w:r>
            <w:r w:rsidR="00293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9D21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бюджета в ИСУН 2020</w:t>
            </w:r>
            <w:r w:rsidR="007533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E4B67" w:rsidRDefault="009D21C4" w:rsidP="009D21C4">
            <w:pPr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79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чл. 8.5 от Регламента допустими непреки разходи са разходи, които не могат да бъдат идентифицирани от бенефициента и/или партньора по проекта като пряко свързани с проекта, но могат да бъдат определени и обосновани чрез неговата счетоводна система като възникнали в пряка връзка с допустимите преки разходи на проекта</w:t>
            </w:r>
            <w:r w:rsidRPr="005F79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 Те не могат да включват допустими преки разходи.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Съгласно Ръководство за изпълнение на проекти, неразделна част от Насоките за кандидатстване „</w:t>
            </w:r>
            <w:r w:rsidRPr="005F79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Доказването на непреки разходи, изчислени на база фиксирана ставка съгласно чл. 8.5.1 букви b), c) и d) от Регламента, няма нужда от подкрепящи документи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</w:t>
            </w:r>
            <w:r w:rsidRPr="005F79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Допустимостта се доказва с приложени счетоводни справки.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</w:t>
            </w:r>
          </w:p>
        </w:tc>
      </w:tr>
      <w:tr w:rsidR="00C004D9" w:rsidRPr="007F105A" w:rsidTr="008B2697">
        <w:tc>
          <w:tcPr>
            <w:tcW w:w="1926" w:type="dxa"/>
          </w:tcPr>
          <w:p w:rsidR="00753348" w:rsidRPr="007F105A" w:rsidRDefault="00753348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D21C4" w:rsidRDefault="007544DD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Допустимо ли е да има само 1 партньор от норвежка страна и той да бъде неправителствена организация, а не община. </w:t>
            </w:r>
          </w:p>
          <w:p w:rsidR="00753348" w:rsidRDefault="007544DD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Разходите за труд от норвежка страна включени ли са в тези 8% разходи за управление или са отделно бюро от бюджета?</w:t>
            </w:r>
          </w:p>
        </w:tc>
        <w:tc>
          <w:tcPr>
            <w:tcW w:w="6259" w:type="dxa"/>
          </w:tcPr>
          <w:p w:rsidR="00753348" w:rsidRPr="009D21C4" w:rsidRDefault="009D21C4" w:rsidP="009D21C4">
            <w:pPr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кандидатстване, п</w:t>
            </w:r>
            <w:r w:rsidRPr="009D21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роектът трябва да се изпълнява в партньорство </w:t>
            </w:r>
            <w:r w:rsidRPr="009D21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 поне една неправителствена организация (НПО), регистрирана в България</w:t>
            </w:r>
            <w:r w:rsidRPr="009D21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 най-малко 3 години успешен опит в областта на приобщаването и овластяването на ромите, за предпочитане с опит в прилагане на ин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9D21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егрирани подходи за предоставяне на услуги, ефективни форми на мобилизиране на участието и самоорганизацията на ромската общност. Препоръчително е поне една от партньорските неправителствени организации да е ромска организация</w:t>
            </w:r>
            <w:r w:rsidRPr="009D21C4">
              <w:footnoteReference w:id="1"/>
            </w:r>
            <w:r w:rsidRPr="009D21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опит в работата с целевата общност (и/или сходни общности).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  <w:p w:rsidR="007544DD" w:rsidRDefault="0092211D" w:rsidP="0092211D">
            <w:pPr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случай, че експерт от страна на избран партньор от страна-донор участва в управление</w:t>
            </w:r>
            <w:r w:rsidR="00520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проекта, то възнаграждението му следва да е част от посочените</w:t>
            </w:r>
            <w:r w:rsidR="007544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8% разходи за управление.</w:t>
            </w:r>
          </w:p>
        </w:tc>
      </w:tr>
      <w:tr w:rsidR="00C004D9" w:rsidRPr="007F105A" w:rsidTr="008B2697">
        <w:tc>
          <w:tcPr>
            <w:tcW w:w="1926" w:type="dxa"/>
          </w:tcPr>
          <w:p w:rsidR="009C328E" w:rsidRPr="007F105A" w:rsidRDefault="009C328E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31413" w:rsidRDefault="009C328E" w:rsidP="0092211D">
            <w:pPr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Задължително ли е провеждането на пазарни консултации по чл. 44 от ЗОП преди обявяване на обществената поръчка, при условие че ще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има вече одобрен бюджет за оборудване, СМР и др.?</w:t>
            </w:r>
          </w:p>
          <w:p w:rsidR="00F2255D" w:rsidRDefault="00F2255D" w:rsidP="0092211D">
            <w:pPr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Допустимо ли е в екипа за управление на проекта да бъдат назначени</w:t>
            </w:r>
            <w:r w:rsidR="00D314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лица в пенсионна възраст поради липса на такива в трудоспособна възраст?</w:t>
            </w:r>
          </w:p>
        </w:tc>
        <w:tc>
          <w:tcPr>
            <w:tcW w:w="6259" w:type="dxa"/>
          </w:tcPr>
          <w:p w:rsidR="009C328E" w:rsidRPr="0092211D" w:rsidRDefault="0092211D" w:rsidP="0092211D">
            <w:pPr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Съгл</w:t>
            </w:r>
            <w:r w:rsidR="00520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асно Насоките за кандидатстване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221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предоставянето на финансиране по проект не може да се счита за потвърждение на допустимостта на </w:t>
            </w:r>
            <w:r w:rsidRPr="009221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разходните позиции в бюджета на проекта.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тази връзка </w:t>
            </w:r>
            <w:r w:rsidR="00D31413" w:rsidRPr="009221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пазарното проучване е задължително, независимо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</w:t>
            </w:r>
            <w:r w:rsidR="00D31413" w:rsidRPr="009221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одобрен</w:t>
            </w:r>
            <w:r w:rsidR="00520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ия</w:t>
            </w:r>
            <w:r w:rsidR="00D31413" w:rsidRPr="009221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бюджет. </w:t>
            </w:r>
          </w:p>
          <w:p w:rsidR="00D31413" w:rsidRDefault="00D31413" w:rsidP="0092211D">
            <w:pPr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Да, допустимо е да бъдат включени лица в пенсионна възраст.</w:t>
            </w:r>
          </w:p>
        </w:tc>
      </w:tr>
      <w:tr w:rsidR="00C004D9" w:rsidRPr="007F105A" w:rsidTr="008B2697">
        <w:tc>
          <w:tcPr>
            <w:tcW w:w="1926" w:type="dxa"/>
          </w:tcPr>
          <w:p w:rsidR="002911B1" w:rsidRPr="007F105A" w:rsidRDefault="002911B1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2911B1" w:rsidRDefault="002911B1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Възможно ли е община, която наскоро е одобрила регулационен план на територия с обособено ромско население да кандидатства за изграждане на водопровод? </w:t>
            </w:r>
          </w:p>
        </w:tc>
        <w:tc>
          <w:tcPr>
            <w:tcW w:w="6259" w:type="dxa"/>
          </w:tcPr>
          <w:p w:rsidR="002911B1" w:rsidRDefault="0092211D" w:rsidP="005203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проектът следва да бъде разработен на база анализ на нуждите и описание на наличните местни ресурси и пропуски. В случай, че необходимостта от изграждане на водопровод е обосновано в съответните документи, подходящо е в цялостния контекст на проекта, приложени са всички необходими документи и се вмества в лимита от 40</w:t>
            </w:r>
            <w:r w:rsidR="002911B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общите разходи по проекта</w:t>
            </w:r>
            <w:r w:rsidR="00520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 дейността е допустима</w:t>
            </w:r>
            <w:r w:rsidR="001041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</w:tc>
      </w:tr>
      <w:tr w:rsidR="00C004D9" w:rsidRPr="007F105A" w:rsidTr="008B2697">
        <w:tc>
          <w:tcPr>
            <w:tcW w:w="1926" w:type="dxa"/>
          </w:tcPr>
          <w:p w:rsidR="00820767" w:rsidRPr="007F105A" w:rsidRDefault="00820767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820767" w:rsidRDefault="00820767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Може ли да дадете дефиниции за маргинализирани и сегрегирани общности?</w:t>
            </w:r>
          </w:p>
        </w:tc>
        <w:tc>
          <w:tcPr>
            <w:tcW w:w="6259" w:type="dxa"/>
          </w:tcPr>
          <w:p w:rsidR="00820767" w:rsidRDefault="00F31BE0" w:rsidP="00F31BE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31B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Маргинализацията</w:t>
            </w:r>
            <w:r w:rsidR="00520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може да бъде определена при</w:t>
            </w:r>
            <w:r w:rsidRPr="00F31B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използва</w:t>
            </w:r>
            <w:r w:rsidR="00520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на</w:t>
            </w:r>
            <w:r w:rsidRPr="00F31B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набор от относими показатели, като например социално изключване, висока дълготрайна безработица, ниско равнище на образование, (изключително) лоши жилищни условия, високо равнище на дискриминация и прекомерна изложеност на рискове за здравето и/или липса на достъп до здравеопазване, т.е. онези групи от населението, които се считат за най-уязвими и най-нуждаещи се от помощ; които редовно се сблъскват с тежка дискриминация и предразсъдъци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F31BE0" w:rsidRPr="00F31BE0" w:rsidRDefault="00F31BE0" w:rsidP="00F31BE0">
            <w:pPr>
              <w:spacing w:before="12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Сегрегирана общност: С</w:t>
            </w:r>
            <w:r w:rsidRPr="006D6179">
              <w:rPr>
                <w:rFonts w:ascii="Times New Roman" w:hAnsi="Times New Roman" w:cs="Times New Roman"/>
                <w:sz w:val="24"/>
                <w:szCs w:val="24"/>
              </w:rPr>
              <w:t>егрегация,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на антропологични различител</w:t>
            </w:r>
            <w:r w:rsidRPr="006D6179">
              <w:rPr>
                <w:rFonts w:ascii="Times New Roman" w:hAnsi="Times New Roman" w:cs="Times New Roman"/>
                <w:sz w:val="24"/>
                <w:szCs w:val="24"/>
              </w:rPr>
              <w:t>ни признаци като раса, етнос, език и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6D6179">
              <w:rPr>
                <w:rFonts w:ascii="Times New Roman" w:hAnsi="Times New Roman" w:cs="Times New Roman"/>
                <w:sz w:val="24"/>
                <w:szCs w:val="24"/>
              </w:rPr>
              <w:t xml:space="preserve">егрегация, в основата на която „стои идеята за превъзходство на доминиращата етническа група и култура спрямо по-малките групи, изразяваща се в </w:t>
            </w:r>
            <w:r w:rsidRPr="006D6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изолиране на тези по-малки групи в определени райони или гета“ (Българска национална доктрина, 1997:18)</w:t>
            </w:r>
          </w:p>
        </w:tc>
      </w:tr>
      <w:tr w:rsidR="00C004D9" w:rsidRPr="007F105A" w:rsidTr="008B2697">
        <w:tc>
          <w:tcPr>
            <w:tcW w:w="1926" w:type="dxa"/>
          </w:tcPr>
          <w:p w:rsidR="00820767" w:rsidRPr="007F105A" w:rsidRDefault="00820767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820767" w:rsidRDefault="00820767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Допустими ли са освен ромска целева група и жители на високопланински, труднодостъпни, отдалечени от градския център населени места? </w:t>
            </w:r>
          </w:p>
        </w:tc>
        <w:tc>
          <w:tcPr>
            <w:tcW w:w="6259" w:type="dxa"/>
          </w:tcPr>
          <w:p w:rsidR="00820767" w:rsidRDefault="00643F78" w:rsidP="005203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Съгласно Насоките за кандидатстване основна целева група по процедурата е: </w:t>
            </w:r>
            <w:r w:rsidRPr="00643F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Роми и лица от други уязвими групи, живеещи в труднодостъпни и/или сегрегирани общности, със затруднен или неравен достъп до услуги, липсваща или неподходяща инфраструктура, изправени пред крайна бедност, социално изключване и маргинализация. Лицата от целевата група са със затруднен или неравен достъп до услуги от следните сектори: социално подпомагане, образование, заетост и здравеопазване. </w:t>
            </w:r>
          </w:p>
        </w:tc>
      </w:tr>
      <w:tr w:rsidR="00C004D9" w:rsidRPr="007F105A" w:rsidTr="008B2697">
        <w:tc>
          <w:tcPr>
            <w:tcW w:w="1926" w:type="dxa"/>
          </w:tcPr>
          <w:p w:rsidR="00820767" w:rsidRPr="007F105A" w:rsidRDefault="00820767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1203EF" w:rsidRDefault="00820767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Изисква ли се към формуляра за кандидатстване да се прилага подробна КСС? </w:t>
            </w:r>
          </w:p>
          <w:p w:rsidR="001203EF" w:rsidRDefault="001203EF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20767" w:rsidRDefault="00820767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 става прилагането на формуляра и на проектното предложение на английски език? Откъде може да се изтегли</w:t>
            </w:r>
          </w:p>
        </w:tc>
        <w:tc>
          <w:tcPr>
            <w:tcW w:w="6259" w:type="dxa"/>
          </w:tcPr>
          <w:p w:rsidR="001203EF" w:rsidRDefault="001203EF" w:rsidP="001203E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Съгласно </w:t>
            </w:r>
            <w:r w:rsidR="00520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Насоките за кандидатстване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доказването на нивото на проектна готовност (КСС за СМР и оборудване и обзавеждане) е задължителен елемент и подлежи на оценка. </w:t>
            </w:r>
          </w:p>
          <w:p w:rsidR="00820767" w:rsidRDefault="00820767" w:rsidP="005203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ИСУН 2020 има раздел, в който се при</w:t>
            </w:r>
            <w:r w:rsidR="00120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качват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всички </w:t>
            </w:r>
            <w:r w:rsidR="00120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изискуеми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документи</w:t>
            </w:r>
            <w:r w:rsidR="00120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съгласно Насоките за кандидатстване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включително формуляр</w:t>
            </w:r>
            <w:r w:rsidR="00120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английски език</w:t>
            </w:r>
            <w:r w:rsidR="00120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Формулярът за кандидатстване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може да </w:t>
            </w:r>
            <w:r w:rsidR="00120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бъде изтеглен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ИСУН</w:t>
            </w:r>
            <w:r w:rsidR="00520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2020 и </w:t>
            </w:r>
            <w:r w:rsidR="00120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бъде преведен</w:t>
            </w:r>
            <w:r w:rsidR="00520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английски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</w:tc>
      </w:tr>
      <w:tr w:rsidR="00C004D9" w:rsidRPr="007F105A" w:rsidTr="008B2697">
        <w:tc>
          <w:tcPr>
            <w:tcW w:w="1926" w:type="dxa"/>
          </w:tcPr>
          <w:p w:rsidR="00820767" w:rsidRPr="007F105A" w:rsidRDefault="00820767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820767" w:rsidRDefault="00820767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Как ще се удостоверява очакваното 40% увеличение на нивото на приемане на ромите по скалата от 1 до 10? </w:t>
            </w:r>
          </w:p>
        </w:tc>
        <w:tc>
          <w:tcPr>
            <w:tcW w:w="6259" w:type="dxa"/>
          </w:tcPr>
          <w:p w:rsidR="00820767" w:rsidRDefault="001203EF" w:rsidP="00520366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Бенефициентът следва да направи проучване на нивото на приемане (след подписване на договор за финансиране на проект), с цел определяне на началната базова стойност. Удостоверяването на повишеното приемане с 40 % става след </w:t>
            </w:r>
            <w:r w:rsidR="007471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провеждане на</w:t>
            </w:r>
            <w:r w:rsidR="000155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анкета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края</w:t>
            </w:r>
            <w:r w:rsidR="000155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проек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тните дейности.</w:t>
            </w:r>
          </w:p>
        </w:tc>
      </w:tr>
      <w:tr w:rsidR="00C004D9" w:rsidRPr="007F105A" w:rsidTr="008B2697">
        <w:tc>
          <w:tcPr>
            <w:tcW w:w="1926" w:type="dxa"/>
          </w:tcPr>
          <w:p w:rsidR="007471E3" w:rsidRPr="007F105A" w:rsidRDefault="007471E3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7471E3" w:rsidRDefault="007471E3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Задължително ли е общината да започне процедура за разработване и одобряване на регулация по ЗУТ? </w:t>
            </w:r>
          </w:p>
        </w:tc>
        <w:tc>
          <w:tcPr>
            <w:tcW w:w="6259" w:type="dxa"/>
          </w:tcPr>
          <w:p w:rsidR="007471E3" w:rsidRDefault="00FC27D8" w:rsidP="00820767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Съгласно Насоките за кандидатстване, т. 8.2 Задължителни дейности: </w:t>
            </w:r>
            <w:r w:rsidRPr="00857B3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На местата с ромско население и население в сходно социално-икономическо състояние, на </w:t>
            </w:r>
            <w:r w:rsidRPr="00857B3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които липсва регулация на територията в съответствие със Закона за устройство на територията, бенефициентът се задължава да започне процедура за разработване и одобряване на регулацията по Закона за устройство на територията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="007471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C004D9" w:rsidRPr="007F105A" w:rsidTr="008B2697">
        <w:tc>
          <w:tcPr>
            <w:tcW w:w="1926" w:type="dxa"/>
          </w:tcPr>
          <w:p w:rsidR="007471E3" w:rsidRPr="007F105A" w:rsidRDefault="007471E3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7471E3" w:rsidRDefault="007471E3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Отчетите на български или английски език трябва да се подават?</w:t>
            </w:r>
          </w:p>
        </w:tc>
        <w:tc>
          <w:tcPr>
            <w:tcW w:w="6259" w:type="dxa"/>
          </w:tcPr>
          <w:p w:rsidR="007471E3" w:rsidRDefault="00FC27D8" w:rsidP="00FC27D8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Отчитането се извършва на </w:t>
            </w:r>
            <w:r w:rsidR="007471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български език.</w:t>
            </w:r>
          </w:p>
        </w:tc>
      </w:tr>
      <w:tr w:rsidR="00C004D9" w:rsidRPr="007F105A" w:rsidTr="008B2697">
        <w:tc>
          <w:tcPr>
            <w:tcW w:w="1926" w:type="dxa"/>
          </w:tcPr>
          <w:p w:rsidR="007471E3" w:rsidRPr="007F105A" w:rsidRDefault="007471E3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7471E3" w:rsidRDefault="007471E3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какъв формат се прилага проектното предложение на английски език? </w:t>
            </w:r>
          </w:p>
        </w:tc>
        <w:tc>
          <w:tcPr>
            <w:tcW w:w="6259" w:type="dxa"/>
          </w:tcPr>
          <w:p w:rsidR="007471E3" w:rsidRPr="007471E3" w:rsidRDefault="007471E3" w:rsidP="00820767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  <w:r w:rsidR="00FC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FC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 </w:t>
            </w:r>
            <w:r w:rsidR="00FC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 формат.</w:t>
            </w:r>
          </w:p>
        </w:tc>
      </w:tr>
      <w:tr w:rsidR="00C004D9" w:rsidRPr="007F105A" w:rsidTr="008B2697">
        <w:tc>
          <w:tcPr>
            <w:tcW w:w="1926" w:type="dxa"/>
          </w:tcPr>
          <w:p w:rsidR="007471E3" w:rsidRPr="007F105A" w:rsidRDefault="007471E3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7471E3" w:rsidRDefault="007471E3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Може ли да се изпратят материалите на регистрираните участници? </w:t>
            </w:r>
          </w:p>
        </w:tc>
        <w:tc>
          <w:tcPr>
            <w:tcW w:w="6259" w:type="dxa"/>
          </w:tcPr>
          <w:p w:rsidR="007471E3" w:rsidRDefault="007471E3" w:rsidP="00520366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Цялата информация</w:t>
            </w:r>
            <w:r w:rsidR="00F31B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предмет на презентациите,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 </w:t>
            </w:r>
            <w:r w:rsidR="00520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налична 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публикуваните Насоки за кандидатстване и приложените към тях документи. </w:t>
            </w:r>
          </w:p>
        </w:tc>
      </w:tr>
      <w:tr w:rsidR="00C004D9" w:rsidRPr="007F105A" w:rsidTr="008B2697">
        <w:tc>
          <w:tcPr>
            <w:tcW w:w="1926" w:type="dxa"/>
          </w:tcPr>
          <w:p w:rsidR="00EC62DF" w:rsidRPr="007F105A" w:rsidRDefault="00EC62DF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EC62DF" w:rsidRDefault="00EC62DF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Възможно ли е да бъде отхвърлено проектно предложение, ако не е стартирана процедура за регулация по ЗУТ? </w:t>
            </w:r>
          </w:p>
        </w:tc>
        <w:tc>
          <w:tcPr>
            <w:tcW w:w="6259" w:type="dxa"/>
          </w:tcPr>
          <w:p w:rsidR="00EC62DF" w:rsidRDefault="00F31BE0" w:rsidP="00F31BE0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Стартирането на процедура по ЗУТ е дейност в процес на изпълнение на проект</w:t>
            </w:r>
            <w:r w:rsidR="00520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не е предмет на оценка на етап кандидатстване. </w:t>
            </w:r>
          </w:p>
        </w:tc>
      </w:tr>
      <w:tr w:rsidR="00C004D9" w:rsidRPr="007F105A" w:rsidTr="008B2697">
        <w:tc>
          <w:tcPr>
            <w:tcW w:w="1926" w:type="dxa"/>
          </w:tcPr>
          <w:p w:rsidR="00C552A5" w:rsidRPr="007F105A" w:rsidRDefault="00C552A5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C552A5" w:rsidRDefault="00F75328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ли ограничение за брой партньорски организации? От тях, една трябва задължително да бъде ромска организация с доказан опит?</w:t>
            </w:r>
          </w:p>
        </w:tc>
        <w:tc>
          <w:tcPr>
            <w:tcW w:w="6259" w:type="dxa"/>
          </w:tcPr>
          <w:p w:rsidR="00C552A5" w:rsidRDefault="00F31BE0" w:rsidP="00F31BE0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кандидатстване, п</w:t>
            </w:r>
            <w:r w:rsidRPr="009D21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роектът трябва да се изпълнява в партньорство </w:t>
            </w:r>
            <w:r w:rsidRPr="009D21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 поне една неправителствена организация (НПО), регистрирана в България</w:t>
            </w:r>
            <w:r w:rsidRPr="009D21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 най-малко 3 години успешен опит в областта на приобщаването и овластяването на ромите, за предпочитане с опит в прилагане на ин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9D21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егрирани подходи за предоставяне на услуги, ефективни форми на мобилизиране на участието и самоорганизацията на ромската общност. Препоръчително е поне една от партньорските неправителствени организации,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е ромска организация</w:t>
            </w:r>
            <w:r w:rsidRPr="009D21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опит в работата с целевата общност </w:t>
            </w:r>
            <w:r w:rsidRPr="009D21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(и/или сходни общности).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</w:t>
            </w:r>
            <w:r w:rsidR="00F753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Няма ограничение за брой партньорски организации. </w:t>
            </w:r>
          </w:p>
        </w:tc>
      </w:tr>
      <w:tr w:rsidR="00C004D9" w:rsidRPr="007F105A" w:rsidTr="008B2697">
        <w:tc>
          <w:tcPr>
            <w:tcW w:w="1926" w:type="dxa"/>
          </w:tcPr>
          <w:p w:rsidR="00BE23E6" w:rsidRPr="007F105A" w:rsidRDefault="00BE23E6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BE23E6" w:rsidRDefault="00BE23E6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 се доказва опитът на партньорската организация?</w:t>
            </w:r>
          </w:p>
        </w:tc>
        <w:tc>
          <w:tcPr>
            <w:tcW w:w="6259" w:type="dxa"/>
          </w:tcPr>
          <w:p w:rsidR="00BE23E6" w:rsidRDefault="00F31BE0" w:rsidP="00F31BE0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Опитът се доказва</w:t>
            </w:r>
            <w:r w:rsidR="00BE23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приложени договори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аналогични документи с</w:t>
            </w:r>
            <w:r w:rsidR="00BE23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описание на проекти, в които е участвала партн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ьорската организация, доклади от изпълнени</w:t>
            </w:r>
            <w:r w:rsidR="00BE23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дейности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публикации</w:t>
            </w:r>
            <w:r w:rsidR="00BE23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друга</w:t>
            </w:r>
            <w:r w:rsidR="00BE23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документация в подкрепа на твърдението, че организацията има съответния опит.</w:t>
            </w:r>
          </w:p>
        </w:tc>
      </w:tr>
      <w:tr w:rsidR="00C004D9" w:rsidRPr="007F105A" w:rsidTr="008B2697">
        <w:tc>
          <w:tcPr>
            <w:tcW w:w="1926" w:type="dxa"/>
          </w:tcPr>
          <w:p w:rsidR="00BE23E6" w:rsidRPr="007F105A" w:rsidRDefault="00BE23E6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BE23E6" w:rsidRDefault="00BE23E6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Насоките е написано „Проектът трябва да се изпълнява в партньорство с поне една НПО, регистрирана в България, с най-малко 3 години успешен опит в областта на приобщаването и овластяването на ромите“. Как се дефинира „успешен опит“?</w:t>
            </w:r>
          </w:p>
        </w:tc>
        <w:tc>
          <w:tcPr>
            <w:tcW w:w="6259" w:type="dxa"/>
          </w:tcPr>
          <w:p w:rsidR="00BE23E6" w:rsidRDefault="00BE23E6" w:rsidP="00820767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Ако дадената организация е работила за приобщаване</w:t>
            </w:r>
            <w:r w:rsidR="00BE22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овластяване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роми</w:t>
            </w:r>
            <w:r w:rsidR="00BE22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има изпълнени проекти, които са одобрен</w:t>
            </w:r>
            <w:r w:rsidR="00F31B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и платени, това се счита</w:t>
            </w:r>
            <w:r w:rsidR="00BE22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успешен опит. Неуспешен опит е когато тази организация не е изпълнявала такива дейности, не е имала такива проекти, които да водят до подобряване на приобщаването и овластяването на ромите.</w:t>
            </w:r>
          </w:p>
        </w:tc>
      </w:tr>
      <w:tr w:rsidR="00C004D9" w:rsidRPr="007F105A" w:rsidTr="008B2697">
        <w:tc>
          <w:tcPr>
            <w:tcW w:w="1926" w:type="dxa"/>
          </w:tcPr>
          <w:p w:rsidR="00BE22E6" w:rsidRPr="007F105A" w:rsidRDefault="00BE22E6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BE22E6" w:rsidRDefault="00BE22E6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 анализа на нуждите на целевите групи може ли да се вземат предвид изследвания на местни активни групи от ромски произход? Например от експерти на програма РОМАКТ?</w:t>
            </w:r>
          </w:p>
        </w:tc>
        <w:tc>
          <w:tcPr>
            <w:tcW w:w="6259" w:type="dxa"/>
          </w:tcPr>
          <w:p w:rsidR="00BE22E6" w:rsidRDefault="00BE22E6" w:rsidP="00520366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Помощта на експертите по програма РОМАКТ ще бъде </w:t>
            </w:r>
            <w:r w:rsidR="00F31B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полезна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общините, които искат да кандидатстват по тази процедура. </w:t>
            </w:r>
          </w:p>
        </w:tc>
      </w:tr>
      <w:tr w:rsidR="00C004D9" w:rsidRPr="007F105A" w:rsidTr="008B2697">
        <w:tc>
          <w:tcPr>
            <w:tcW w:w="1926" w:type="dxa"/>
          </w:tcPr>
          <w:p w:rsidR="00BE22E6" w:rsidRPr="007F105A" w:rsidRDefault="00BE22E6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BE22E6" w:rsidRDefault="00BE22E6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Програмният оператор има ли регионални координатори в различните области, които да помагат при извършването на мониторинг при изпълнението на проектите или тази роля е само на ПО?</w:t>
            </w:r>
          </w:p>
        </w:tc>
        <w:tc>
          <w:tcPr>
            <w:tcW w:w="6259" w:type="dxa"/>
          </w:tcPr>
          <w:p w:rsidR="00BE22E6" w:rsidRDefault="00E152E7" w:rsidP="00B332CA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Екипът на ПО е с</w:t>
            </w:r>
            <w:r w:rsidR="00F31B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итуиран в София, но мониторинг/контрол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 провежда периодично от отговорните експерти. </w:t>
            </w:r>
          </w:p>
        </w:tc>
      </w:tr>
      <w:tr w:rsidR="00C004D9" w:rsidRPr="007F105A" w:rsidTr="008B2697">
        <w:tc>
          <w:tcPr>
            <w:tcW w:w="1926" w:type="dxa"/>
          </w:tcPr>
          <w:p w:rsidR="00E152E7" w:rsidRPr="007F105A" w:rsidRDefault="00E152E7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A13F6E" w:rsidRDefault="00E87528" w:rsidP="00B013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Ако общините формално включват </w:t>
            </w:r>
            <w:r w:rsidR="00F843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участието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роми</w:t>
            </w:r>
            <w:r w:rsidR="00F843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843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във фазата на планиране и изпълнение на проекта, как ще се контролира в този проект да няма злоупотреби?</w:t>
            </w:r>
            <w:r w:rsidR="00B013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13F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Например</w:t>
            </w:r>
            <w:r w:rsidR="00B013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A13F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когато се включват </w:t>
            </w:r>
            <w:r w:rsidR="00A13F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политически ангажирани роми, които фиктивно участват в този процес</w:t>
            </w:r>
            <w:r w:rsidR="00B013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59" w:type="dxa"/>
          </w:tcPr>
          <w:p w:rsidR="00B332CA" w:rsidRDefault="00B332CA" w:rsidP="00820767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Съгласно Насоките за кандидатстване кандидатите</w:t>
            </w:r>
            <w:r w:rsidRPr="00857B3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трябва да подготвят обща начална оценка на целевите групи, както и на съществуващите местни ресурси, заедно </w:t>
            </w:r>
            <w:r w:rsidR="0052036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 </w:t>
            </w:r>
            <w:r w:rsidRPr="00857B3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НПО партньора(-ите) и с</w:t>
            </w:r>
            <w:r w:rsidR="0052036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активното</w:t>
            </w:r>
            <w:r w:rsidRPr="00857B3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участие на общността. </w:t>
            </w:r>
          </w:p>
          <w:p w:rsidR="00B01328" w:rsidRDefault="00B332CA" w:rsidP="00820767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 xml:space="preserve">Документите,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дейностите</w:t>
            </w:r>
            <w:r w:rsidR="00F843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начинът на изпълнението им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следва </w:t>
            </w:r>
            <w:r w:rsidR="00F843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бъдат решени съвместно с 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редставителите на ромската общност, НПО и други заинтересовани страни. </w:t>
            </w:r>
          </w:p>
        </w:tc>
      </w:tr>
      <w:tr w:rsidR="00C004D9" w:rsidRPr="007F105A" w:rsidTr="008B2697">
        <w:tc>
          <w:tcPr>
            <w:tcW w:w="1926" w:type="dxa"/>
          </w:tcPr>
          <w:p w:rsidR="00A13F6E" w:rsidRPr="00A13F6E" w:rsidRDefault="00A13F6E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09" w:type="dxa"/>
          </w:tcPr>
          <w:p w:rsidR="00A13F6E" w:rsidRDefault="003E15E4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Задължително ли е експертите за изпълнение на дейностите да имат висше образование?</w:t>
            </w:r>
          </w:p>
        </w:tc>
        <w:tc>
          <w:tcPr>
            <w:tcW w:w="6259" w:type="dxa"/>
          </w:tcPr>
          <w:p w:rsidR="00A13F6E" w:rsidRDefault="00DC1D72" w:rsidP="00B332CA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насоките за кандидатстване няма такова ограничение. </w:t>
            </w:r>
            <w:r w:rsidR="00B332C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нефициентът</w:t>
            </w:r>
            <w:r w:rsidR="00B332C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следва да се съобразява с националните стандарти за наемане на служители.</w:t>
            </w:r>
          </w:p>
        </w:tc>
      </w:tr>
      <w:tr w:rsidR="00C004D9" w:rsidRPr="007F105A" w:rsidTr="008B2697">
        <w:tc>
          <w:tcPr>
            <w:tcW w:w="1926" w:type="dxa"/>
          </w:tcPr>
          <w:p w:rsidR="00DC1D72" w:rsidRPr="00A13F6E" w:rsidRDefault="00DC1D72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09" w:type="dxa"/>
          </w:tcPr>
          <w:p w:rsidR="00DC1D72" w:rsidRDefault="00DC1D72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Какви ще бъдат изискванията към лицата, заемащи длъжността здравен медиатор с оглед на това, че тези кадри са изключително малко и обучение се провеждат изключително рядко?</w:t>
            </w:r>
          </w:p>
        </w:tc>
        <w:tc>
          <w:tcPr>
            <w:tcW w:w="6259" w:type="dxa"/>
          </w:tcPr>
          <w:p w:rsidR="00DC1D72" w:rsidRDefault="00DC1D72" w:rsidP="00B332CA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Обученията на здравните медиатори се провеждат всяка година и всяка община може сама да заяви нуждата си от здравни медиатори и да ги включи в проекта. Ако в съответната община няма такъв здравен медиатор, тя може да започне работа с други неформални лидери и</w:t>
            </w:r>
            <w:r w:rsidR="00B332C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представители на общността, като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заяви към Националната мрежа </w:t>
            </w:r>
            <w:r w:rsidR="002B44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здра</w:t>
            </w:r>
            <w:r w:rsidR="002B44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вните медиатори своите нужди и в максимално кратък срок да се организира обучение от Националната мрежа. </w:t>
            </w:r>
          </w:p>
        </w:tc>
      </w:tr>
      <w:tr w:rsidR="00C004D9" w:rsidRPr="007F105A" w:rsidTr="008B2697">
        <w:tc>
          <w:tcPr>
            <w:tcW w:w="1926" w:type="dxa"/>
          </w:tcPr>
          <w:p w:rsidR="002B44C8" w:rsidRPr="00A13F6E" w:rsidRDefault="002B44C8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09" w:type="dxa"/>
          </w:tcPr>
          <w:p w:rsidR="002B44C8" w:rsidRDefault="002B44C8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Никъде не са посочени примерни ставки за експертите. Моля, дайте повече информация и пример.</w:t>
            </w:r>
          </w:p>
        </w:tc>
        <w:tc>
          <w:tcPr>
            <w:tcW w:w="6259" w:type="dxa"/>
          </w:tcPr>
          <w:p w:rsidR="002B44C8" w:rsidRDefault="00B332CA" w:rsidP="00F44261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</w:t>
            </w:r>
            <w:r w:rsidR="00702F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допустимото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02F9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възнаграждение следва да е</w:t>
            </w:r>
            <w:r w:rsidR="00702F94" w:rsidRPr="00857B3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съобраз</w:t>
            </w:r>
            <w:r w:rsidR="00702F9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</w:t>
            </w:r>
            <w:r w:rsidR="00702F94" w:rsidRPr="00857B3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но</w:t>
            </w:r>
            <w:r w:rsidR="00702F9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</w:t>
            </w:r>
            <w:r w:rsidR="00702F94" w:rsidRPr="00857B3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бюджета на проекта и </w:t>
            </w:r>
            <w:r w:rsidR="00702F94" w:rsidRPr="00857B3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  <w:t>обичайната политика</w:t>
            </w:r>
            <w:r w:rsidR="00702F94" w:rsidRPr="00857B3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за възнаграждения на Бенефициента</w:t>
            </w:r>
            <w:r w:rsidR="00702F9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/партньора. </w:t>
            </w:r>
            <w:r w:rsidR="00702F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Ръководството за изпълнение на проекти, част от документите към Насоките, са описани начините и допустимостта на възнаграждения на служители на бенефициента/партньора и външни експерти.</w:t>
            </w:r>
          </w:p>
        </w:tc>
      </w:tr>
      <w:tr w:rsidR="00C004D9" w:rsidRPr="007F105A" w:rsidTr="008B2697">
        <w:tc>
          <w:tcPr>
            <w:tcW w:w="1926" w:type="dxa"/>
          </w:tcPr>
          <w:p w:rsidR="00CB6FC2" w:rsidRPr="00A13F6E" w:rsidRDefault="00CB6FC2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09" w:type="dxa"/>
          </w:tcPr>
          <w:p w:rsidR="00CB6FC2" w:rsidRDefault="00F35BB0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Заплатите по трудови договори могат ли да се калкулират в бюджета и да се отчитат месечно?</w:t>
            </w:r>
          </w:p>
          <w:p w:rsidR="00A16F0F" w:rsidRDefault="00A16F0F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16F0F" w:rsidRDefault="00A16F0F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Имало е лоша практика хонорарите на експертите по проекта да се приравняват към средната заплата на държавен служител, разделена на часове. </w:t>
            </w:r>
          </w:p>
        </w:tc>
        <w:tc>
          <w:tcPr>
            <w:tcW w:w="6259" w:type="dxa"/>
          </w:tcPr>
          <w:p w:rsidR="00702F94" w:rsidRDefault="00702F94" w:rsidP="00820767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В Ръководството за изпълнение на проекти, част от документите към Насоките, са описани начините и допустимостта на възнаграждения на служители на бенефициента/партньора.</w:t>
            </w:r>
          </w:p>
          <w:p w:rsidR="00A16F0F" w:rsidRDefault="00702F94" w:rsidP="00702F94">
            <w:pPr>
              <w:tabs>
                <w:tab w:val="left" w:pos="103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Съгл</w:t>
            </w:r>
            <w:r w:rsidR="00F442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асно Насоките за кандидатстване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допустимото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възнаграждение следва да е</w:t>
            </w:r>
            <w:r w:rsidRPr="00857B3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съобраз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</w:t>
            </w:r>
            <w:r w:rsidRPr="00857B3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4426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 </w:t>
            </w:r>
            <w:r w:rsidRPr="00857B3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/>
              </w:rPr>
              <w:t>обичайната политика</w:t>
            </w:r>
            <w:r w:rsidRPr="00857B3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за възнаграждения на Бенефициента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/партньора.</w:t>
            </w:r>
          </w:p>
        </w:tc>
      </w:tr>
      <w:tr w:rsidR="00C004D9" w:rsidRPr="007F105A" w:rsidTr="008B2697">
        <w:tc>
          <w:tcPr>
            <w:tcW w:w="1926" w:type="dxa"/>
          </w:tcPr>
          <w:p w:rsidR="00F35BB0" w:rsidRPr="00A13F6E" w:rsidRDefault="00F35BB0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09" w:type="dxa"/>
          </w:tcPr>
          <w:p w:rsidR="00F35BB0" w:rsidRDefault="00FD0DF8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Как </w:t>
            </w:r>
            <w:r w:rsidRPr="00EF3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 измерва или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какви часови граници е с</w:t>
            </w:r>
            <w:r w:rsidR="00A16F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тавката за провеждане на обучение от експертите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Как се аргументира тази ставка?</w:t>
            </w:r>
          </w:p>
        </w:tc>
        <w:tc>
          <w:tcPr>
            <w:tcW w:w="6259" w:type="dxa"/>
          </w:tcPr>
          <w:p w:rsidR="00F35BB0" w:rsidRDefault="00EF3273" w:rsidP="00E52452">
            <w:pPr>
              <w:tabs>
                <w:tab w:val="left" w:pos="1035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 ограничение за часове за провеждане на обучение. Заплащането може да стане както за обучение за един учебен час, ден, цялостно обучение / приключил процес, в зависимост от</w:t>
            </w:r>
            <w:r w:rsidR="009042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обичайната практика, от вида на обучението, от броя на обучаваните, търсения краен резултат, продължителността</w:t>
            </w:r>
            <w:r w:rsidR="00E524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др. </w:t>
            </w:r>
          </w:p>
          <w:p w:rsidR="001277C2" w:rsidRDefault="00297F3A" w:rsidP="00E52452">
            <w:pPr>
              <w:tabs>
                <w:tab w:val="left" w:pos="1035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Доказване на допустим разход е необходимо на етап отчитане на разходите.  В случай че на етап ТФО е необходима информация за начина на определяне на какъв да е разход, то ще бъде изискана допълнителна документация/мотивация в процеса на оценка.</w:t>
            </w:r>
          </w:p>
        </w:tc>
      </w:tr>
      <w:tr w:rsidR="00C004D9" w:rsidRPr="007F105A" w:rsidTr="008B2697">
        <w:tc>
          <w:tcPr>
            <w:tcW w:w="1926" w:type="dxa"/>
          </w:tcPr>
          <w:p w:rsidR="00E52452" w:rsidRPr="00A13F6E" w:rsidRDefault="00E52452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09" w:type="dxa"/>
          </w:tcPr>
          <w:p w:rsidR="00E52452" w:rsidRDefault="007204F0" w:rsidP="007204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 може да се докаже ставката 50 лв./час за клиничен психолог?</w:t>
            </w:r>
          </w:p>
        </w:tc>
        <w:tc>
          <w:tcPr>
            <w:tcW w:w="6259" w:type="dxa"/>
          </w:tcPr>
          <w:p w:rsidR="00E52452" w:rsidRDefault="00EF3273" w:rsidP="00EF3273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Справка от НСИ, сключени договори,  стандартна цена за един час </w:t>
            </w:r>
            <w:r w:rsidR="00F442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консултация, справка в интернет и други източници.</w:t>
            </w:r>
          </w:p>
        </w:tc>
      </w:tr>
      <w:tr w:rsidR="00C004D9" w:rsidRPr="007F105A" w:rsidTr="008B2697">
        <w:tc>
          <w:tcPr>
            <w:tcW w:w="1926" w:type="dxa"/>
          </w:tcPr>
          <w:p w:rsidR="003132C1" w:rsidRPr="00A13F6E" w:rsidRDefault="003132C1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09" w:type="dxa"/>
          </w:tcPr>
          <w:p w:rsidR="003132C1" w:rsidRDefault="003132C1" w:rsidP="007204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Трябва ли към апликационната форма да се прилагат минали договори, за да се докаже ставката или е достатъчно само да се опишат?</w:t>
            </w:r>
          </w:p>
        </w:tc>
        <w:tc>
          <w:tcPr>
            <w:tcW w:w="6259" w:type="dxa"/>
          </w:tcPr>
          <w:p w:rsidR="003132C1" w:rsidRDefault="003132C1" w:rsidP="003132C1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етап кандидатстване е достатъчно само да се опишат.</w:t>
            </w:r>
          </w:p>
          <w:p w:rsidR="004E5312" w:rsidRDefault="00EF3273" w:rsidP="00EF3273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Доказване на допустим разход е необходимо на етап отчитане на разходите.  В случай че на етап ТФО е необходима информация за начина на определяне на какъв да е разход, то ще бъде изискана допълнителна документация/мотивация в процеса на оценка. </w:t>
            </w:r>
          </w:p>
        </w:tc>
      </w:tr>
      <w:tr w:rsidR="00C004D9" w:rsidRPr="007F105A" w:rsidTr="008B2697">
        <w:tc>
          <w:tcPr>
            <w:tcW w:w="1926" w:type="dxa"/>
          </w:tcPr>
          <w:p w:rsidR="003132C1" w:rsidRPr="00A13F6E" w:rsidRDefault="003132C1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09" w:type="dxa"/>
          </w:tcPr>
          <w:p w:rsidR="003132C1" w:rsidRDefault="00524B10" w:rsidP="007204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Отчетите на експертите почасови ли трябва да бъдат или е допустимо да бъдат на месечна основа? </w:t>
            </w:r>
          </w:p>
        </w:tc>
        <w:tc>
          <w:tcPr>
            <w:tcW w:w="6259" w:type="dxa"/>
          </w:tcPr>
          <w:p w:rsidR="003132C1" w:rsidRDefault="00524B10" w:rsidP="003132C1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не препоръчва сключването на граждански договори със служителите, които ще изпълняват функции по управление на проекти.</w:t>
            </w:r>
            <w:r w:rsid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Ръководството за изпълнение на проекти, част от документите към Насоките, са описани начините и допустимостта на възнаграждения на </w:t>
            </w:r>
            <w:r w:rsid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служители на бенефициента/партньора и външни експерти.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C004D9" w:rsidRPr="007F105A" w:rsidTr="008B2697">
        <w:tc>
          <w:tcPr>
            <w:tcW w:w="1926" w:type="dxa"/>
          </w:tcPr>
          <w:p w:rsidR="00FA796A" w:rsidRPr="00A13F6E" w:rsidRDefault="00FA796A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09" w:type="dxa"/>
          </w:tcPr>
          <w:p w:rsidR="00FA796A" w:rsidRDefault="00D420D4" w:rsidP="007204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Може ли юридическо лице да сключи договор за провеждане на обучение или други дейности или трябва да се сключва само с физически лица?</w:t>
            </w:r>
          </w:p>
        </w:tc>
        <w:tc>
          <w:tcPr>
            <w:tcW w:w="6259" w:type="dxa"/>
          </w:tcPr>
          <w:p w:rsidR="00FA796A" w:rsidRDefault="00297F3A" w:rsidP="00297F3A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 ограничение на вида лице – физическо или юридическо, при спазване на националното законодателство, в т.ч. ЗОП.</w:t>
            </w:r>
          </w:p>
        </w:tc>
      </w:tr>
      <w:tr w:rsidR="00C004D9" w:rsidRPr="007F105A" w:rsidTr="008B2697">
        <w:tc>
          <w:tcPr>
            <w:tcW w:w="1926" w:type="dxa"/>
          </w:tcPr>
          <w:p w:rsidR="00D66B8B" w:rsidRPr="00A13F6E" w:rsidRDefault="00D66B8B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09" w:type="dxa"/>
          </w:tcPr>
          <w:p w:rsidR="00D66B8B" w:rsidRDefault="00D66B8B" w:rsidP="007204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20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Какъв е процесът на търсене на партньори? Възможно ли е съдействие за това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Ваша страна</w:t>
            </w:r>
            <w:r w:rsidR="004510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Ако </w:t>
            </w:r>
            <w:r w:rsidR="00867C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 получи недостиг на партньори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национално ниво, възможно ли е удължаване на крайния срок?</w:t>
            </w:r>
          </w:p>
        </w:tc>
        <w:tc>
          <w:tcPr>
            <w:tcW w:w="6259" w:type="dxa"/>
          </w:tcPr>
          <w:p w:rsidR="00D66B8B" w:rsidRDefault="00D66B8B" w:rsidP="003132C1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Всяка община, която отговаря на изискванията за кандидатстване, малко или много е работила с НПО или с лица, представляващи такива организации, които са запознати с положението в общността. </w:t>
            </w:r>
            <w:r w:rsidR="004510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Препоръчително е общината да се свърже с хора, които са работили в изолираните, маргинализираните общности на територията на общината. Така ще се осигури обективна и адекватна намеса на НПО, защото тя вече е запозната с положението на конкретната общност или по-лесно би могла да съдейства на общината, да проведе консултации, да стигне до лидерите, да стигне до ромските жени и момичетата и т.н.</w:t>
            </w:r>
          </w:p>
          <w:p w:rsidR="004510E1" w:rsidRDefault="00867C12" w:rsidP="003132C1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ролята ни</w:t>
            </w:r>
            <w:r w:rsidR="00520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0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ПО ще подпомагаме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търсене</w:t>
            </w:r>
            <w:r w:rsidR="005203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партньори, но само от страните-донори. </w:t>
            </w:r>
            <w:r w:rsidR="00F442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опустимо </w:t>
            </w:r>
            <w:r w:rsidR="00F442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използването на средства от Фонда за двустранни взаимоотношения за пътуване до избрания партньор или за покана на този партньор в България.</w:t>
            </w:r>
          </w:p>
          <w:p w:rsidR="00867C12" w:rsidRDefault="0042276A" w:rsidP="003132C1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Ако изоб</w:t>
            </w:r>
            <w:r w:rsidR="00A421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що се стигне до удължаване на крайния срок, то </w:t>
            </w:r>
            <w:r w:rsidR="00F442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най-вероятно </w:t>
            </w:r>
            <w:r w:rsidR="00A421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 да бъде свързано с недостиг на партньори на национално ниво.</w:t>
            </w:r>
          </w:p>
        </w:tc>
      </w:tr>
      <w:tr w:rsidR="00C004D9" w:rsidRPr="007F105A" w:rsidTr="008B2697">
        <w:tc>
          <w:tcPr>
            <w:tcW w:w="1926" w:type="dxa"/>
          </w:tcPr>
          <w:p w:rsidR="00867C12" w:rsidRPr="00A13F6E" w:rsidRDefault="00867C12" w:rsidP="007F10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09" w:type="dxa"/>
          </w:tcPr>
          <w:p w:rsidR="00867C12" w:rsidRDefault="00A421D3" w:rsidP="007204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Трябва ли чуждестранните партньори да подписват декларации и да подават ОПР и Баланс както водещата организация</w:t>
            </w:r>
            <w:r w:rsidR="00B61B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  <w:tc>
          <w:tcPr>
            <w:tcW w:w="6259" w:type="dxa"/>
          </w:tcPr>
          <w:p w:rsidR="00867C12" w:rsidRDefault="00297F3A" w:rsidP="00297F3A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Необходимите документи към проектното предложение са описани в Насоките за кандидатстване. Според вида на чуждестранните партньори е възможно да има различни изисквания към подаваните документи, но при общия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принцип всички следва да представят декларациите, информация за регистрация на съответната организация и годишен отчет, в случай че исканите документи не са достъпни чрез публични регистри.</w:t>
            </w:r>
          </w:p>
        </w:tc>
      </w:tr>
      <w:tr w:rsidR="00C004D9" w:rsidRPr="007F105A" w:rsidTr="008B2697">
        <w:tc>
          <w:tcPr>
            <w:tcW w:w="1926" w:type="dxa"/>
          </w:tcPr>
          <w:p w:rsidR="00A421D3" w:rsidRPr="00A13F6E" w:rsidRDefault="00A421D3" w:rsidP="00297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09" w:type="dxa"/>
          </w:tcPr>
          <w:p w:rsidR="00A421D3" w:rsidRDefault="00B61B78" w:rsidP="007204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ли ръководство за изпълнение на проектите?</w:t>
            </w:r>
          </w:p>
        </w:tc>
        <w:tc>
          <w:tcPr>
            <w:tcW w:w="6259" w:type="dxa"/>
          </w:tcPr>
          <w:p w:rsidR="00A421D3" w:rsidRDefault="00297F3A" w:rsidP="00297F3A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Ръководството за изпълнение на проекти е неразделна част от </w:t>
            </w:r>
            <w:r w:rsidR="00B61B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пакета документи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информация</w:t>
            </w:r>
            <w:r w:rsidR="00B61B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към Насоките за кандидатстване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настоящата процедура.</w:t>
            </w:r>
          </w:p>
        </w:tc>
      </w:tr>
      <w:tr w:rsidR="00C004D9" w:rsidRPr="007F105A" w:rsidTr="008B2697">
        <w:tc>
          <w:tcPr>
            <w:tcW w:w="1926" w:type="dxa"/>
          </w:tcPr>
          <w:p w:rsidR="00C45CF5" w:rsidRPr="00297F3A" w:rsidRDefault="00C45CF5" w:rsidP="00297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876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Камен Макавеев- Ромакт</w:t>
            </w:r>
          </w:p>
          <w:p w:rsidR="00C45CF5" w:rsidRPr="00297F3A" w:rsidRDefault="00C45CF5" w:rsidP="00297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09" w:type="dxa"/>
          </w:tcPr>
          <w:p w:rsidR="00C45CF5" w:rsidRPr="00297F3A" w:rsidRDefault="00C45CF5" w:rsidP="00297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Допустим разход ли е ремонт и рехабилитация на улица или част от улица, която е в квартал с преобладаващо ромско население в уязвимо положение.  За улицата има изготвен от общината технически проект за ремонтните дейности.</w:t>
            </w:r>
          </w:p>
          <w:p w:rsidR="00C45CF5" w:rsidRPr="00B5352D" w:rsidRDefault="00C45CF5" w:rsidP="007204F0">
            <w:pPr>
              <w:spacing w:before="120" w:after="120"/>
              <w:rPr>
                <w:rFonts w:ascii="Calibri" w:eastAsia="Times New Roman" w:hAnsi="Calibri" w:cs="Calibri"/>
                <w:color w:val="2E74B5" w:themeColor="accent1" w:themeShade="BF"/>
                <w:sz w:val="24"/>
                <w:szCs w:val="24"/>
                <w:lang w:val="bg-BG" w:eastAsia="bg-BG"/>
              </w:rPr>
            </w:pPr>
          </w:p>
        </w:tc>
        <w:tc>
          <w:tcPr>
            <w:tcW w:w="6259" w:type="dxa"/>
          </w:tcPr>
          <w:p w:rsidR="00C45CF5" w:rsidRPr="00297F3A" w:rsidRDefault="00EE3529" w:rsidP="00297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</w:t>
            </w:r>
            <w:r w:rsidR="00F876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</w:t>
            </w: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праведлива част от предвидените инфраструктурни дейности трябва да бъдат насочени към подобряване на условията в сегрегираната целева зона. Една от задължителните дейности – стартиране на процеса за устройство на територията – също ще бъде отчетена като част от дейностите по строителство/ремонт. </w:t>
            </w:r>
            <w:r w:rsidR="00F876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Една от примерните дейности е п</w:t>
            </w: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одобряване на инфраструктурната среда в сегрегираните населени места: инициативи за почистване, осигуряване на повече контейнери и ефективно сметосъбиране, детски площадки и др.</w:t>
            </w:r>
          </w:p>
          <w:p w:rsidR="00EE3529" w:rsidRPr="00EE3529" w:rsidRDefault="00EE3529" w:rsidP="00297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004D9" w:rsidRPr="007F105A" w:rsidTr="008B2697">
        <w:tc>
          <w:tcPr>
            <w:tcW w:w="1926" w:type="dxa"/>
          </w:tcPr>
          <w:p w:rsidR="00C45CF5" w:rsidRPr="00297F3A" w:rsidRDefault="00C45CF5" w:rsidP="00297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Теменужка Кутевски</w:t>
            </w:r>
          </w:p>
          <w:p w:rsidR="00C45CF5" w:rsidRPr="00297F3A" w:rsidRDefault="00C45CF5" w:rsidP="00297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09" w:type="dxa"/>
          </w:tcPr>
          <w:p w:rsidR="00C45CF5" w:rsidRPr="00297F3A" w:rsidRDefault="00C45CF5" w:rsidP="00C45C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 Как доказваме броя на бенефициентите - с данни от НСИ - самоопределили се при последното преброяване или по адресна регистрация на ГРАО?</w:t>
            </w: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>В случаи, при които ромското население е 10% от общото население на общината, но по-малко от 2000 души: допустимо ли е да кандидатства общината самостоятелно или трябва да е в партньорство с друга община?</w:t>
            </w: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>Ако е с друга община - има ли значение процентното съотношение на бенефициентите от всяка община?</w:t>
            </w: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2. Стратегията за поддържане и разширяване на дейностите по проекта в рамките на 5-годишен период след завършване на проекта с цел устойчивост и разширяване на резултатите: може ли да бъде обвързано нейното реализиране с наличие на външно от общината/проектно финансиране?</w:t>
            </w: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>3. Допустимо ли е закупуване на използвано превозно средство с цел предоставяне на мобилна услуга?</w:t>
            </w:r>
          </w:p>
        </w:tc>
        <w:tc>
          <w:tcPr>
            <w:tcW w:w="6259" w:type="dxa"/>
          </w:tcPr>
          <w:p w:rsidR="00A91DD6" w:rsidRPr="00297F3A" w:rsidRDefault="00A91DD6" w:rsidP="00297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Съгласно Насоките за кандидатстване:</w:t>
            </w:r>
          </w:p>
          <w:p w:rsidR="00C45CF5" w:rsidRPr="00297F3A" w:rsidRDefault="00A91DD6" w:rsidP="00297F3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Допустими кандидати са </w:t>
            </w:r>
            <w:r w:rsidR="00F876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бщини, в които ромските общности съставляват най- малко 5% от общото население и където ромските общности са в неравностойно положение (живеят в компактни групи; в изолирани ромски общности; в изолирани квартали на градове или села, със затруднен достъп до базова инфраструктура и услуги, в маргинализирани и/или бедни и/или отдалечени райони) и наброяват не по-малко от 2 000 жители. </w:t>
            </w: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За постигане на съответния брой и процент хора, живеещи в маргинализирани и/или бедни и/или отдалечени райони в неравностойно положение, е допустимо създаването на партньорства между отделните общини. В този случай планираните проектни дейности трябва да бъдат насочени едновременно към представители на целевите групи от всички общини-партньори по проекта. Всяка община може да участва (като кандидат или партньор) само в едно проектно предложение.</w:t>
            </w:r>
            <w:r w:rsidR="00F876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Насоките за кандидатстване начините за определяне на броя и процента на целевите групи са описани подборно.</w:t>
            </w:r>
          </w:p>
          <w:p w:rsidR="00A91DD6" w:rsidRPr="00A91DD6" w:rsidRDefault="00A91DD6" w:rsidP="00297F3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Един от резултатите от проекта ще бъде наличието на подробна стратегия за развитие на услугите и подобряване на положението на целевата общност през следващите пет години след завършване на проекта, разработена съвместно с партньора(-ите) от гражданското общество, както и със структурите, представляващи интересите на общността (инициативни групи, общностни съвети, коалиции и др.), включително и финансовите ангажименти (на общината и/или за набиране на средства чрез публични или частни програми за финансиране).</w:t>
            </w:r>
          </w:p>
          <w:p w:rsidR="00A91DD6" w:rsidRPr="00A91DD6" w:rsidRDefault="00A91DD6" w:rsidP="00297F3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Закупуването на </w:t>
            </w:r>
            <w:r w:rsidR="006F3E1C"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превозно средство</w:t>
            </w: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допустим разход, ако е добре мотивиран и е обвързан с реализацията на дейностите по проекта.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C004D9" w:rsidRPr="007F105A" w:rsidTr="008B2697">
        <w:tc>
          <w:tcPr>
            <w:tcW w:w="1926" w:type="dxa"/>
          </w:tcPr>
          <w:p w:rsidR="00C45CF5" w:rsidRPr="00297F3A" w:rsidRDefault="00C45CF5" w:rsidP="00C45C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Зоя Петрушева</w:t>
            </w:r>
            <w:r w:rsidR="00733916"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о</w:t>
            </w: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бщина Пловдив</w:t>
            </w:r>
          </w:p>
          <w:p w:rsidR="00C45CF5" w:rsidRPr="00B5352D" w:rsidRDefault="00C45CF5" w:rsidP="00C45CF5">
            <w:pPr>
              <w:shd w:val="clear" w:color="auto" w:fill="FFFFFF"/>
              <w:rPr>
                <w:rFonts w:ascii="Calibri" w:eastAsia="Times New Roman" w:hAnsi="Calibri" w:cs="Calibri"/>
                <w:color w:val="2E74B5" w:themeColor="accent1" w:themeShade="BF"/>
                <w:sz w:val="24"/>
                <w:szCs w:val="24"/>
                <w:lang w:val="bg-BG" w:eastAsia="bg-BG"/>
              </w:rPr>
            </w:pPr>
          </w:p>
        </w:tc>
        <w:tc>
          <w:tcPr>
            <w:tcW w:w="5809" w:type="dxa"/>
          </w:tcPr>
          <w:p w:rsidR="00C45CF5" w:rsidRPr="00297F3A" w:rsidRDefault="00C45CF5" w:rsidP="00297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Пакета документи в ИСУН за кандидатстване по процедура "BGLD-3.002 - Интегрирани мерки за приобщаване и овластяване на ромите" липсва Формуляр за кандидатстване на английски език, </w:t>
            </w: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който е посочен сред задължителните за подаване документи.</w:t>
            </w:r>
          </w:p>
          <w:p w:rsidR="00C45CF5" w:rsidRPr="00297F3A" w:rsidRDefault="00C45CF5" w:rsidP="00297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45CF5" w:rsidRPr="00297F3A" w:rsidRDefault="00C45CF5" w:rsidP="00297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Насоките за кандидатстване, стр. 38 е написано, че се изисква: "Формуляр за кандидатстване, приложен към документацията в ИСУН 2020, подаден на английски език и съдържащ еквивалентна информация с тази във Формуляра за кандидатстване в ИСУН 2020."</w:t>
            </w:r>
          </w:p>
          <w:p w:rsidR="00C45CF5" w:rsidRPr="00297F3A" w:rsidRDefault="00C45CF5" w:rsidP="00297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Моля да разясните по какъв начин да получим достъп до посочения Формуляр.</w:t>
            </w:r>
          </w:p>
          <w:p w:rsidR="00C45CF5" w:rsidRPr="00297F3A" w:rsidRDefault="00C45CF5" w:rsidP="00297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Благодаря предварително!</w:t>
            </w:r>
          </w:p>
          <w:p w:rsidR="00C45CF5" w:rsidRPr="00297F3A" w:rsidRDefault="00C45CF5" w:rsidP="00297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259" w:type="dxa"/>
          </w:tcPr>
          <w:p w:rsidR="00C45CF5" w:rsidRDefault="00F8762E" w:rsidP="00297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Формулярът за кандидатстване в ИСУН 2020 е пригоден за изтегляне и редакция. За нуждите на тази процедура се ползва така изтегления и с попълнена преведена на английски информация Формуляр от ИСУН 2020.</w:t>
            </w:r>
          </w:p>
        </w:tc>
      </w:tr>
      <w:tr w:rsidR="00C004D9" w:rsidRPr="007F105A" w:rsidTr="008B2697">
        <w:tc>
          <w:tcPr>
            <w:tcW w:w="1926" w:type="dxa"/>
          </w:tcPr>
          <w:p w:rsidR="00C45CF5" w:rsidRPr="00B5352D" w:rsidRDefault="00C45CF5" w:rsidP="00C45CF5">
            <w:pPr>
              <w:shd w:val="clear" w:color="auto" w:fill="FFFFFF"/>
              <w:rPr>
                <w:rFonts w:ascii="Calibri" w:eastAsia="Times New Roman" w:hAnsi="Calibri" w:cs="Calibri"/>
                <w:color w:val="2E74B5" w:themeColor="accent1" w:themeShade="BF"/>
                <w:sz w:val="24"/>
                <w:szCs w:val="24"/>
                <w:lang w:val="bg-BG" w:eastAsia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Община Средец</w:t>
            </w:r>
          </w:p>
        </w:tc>
        <w:tc>
          <w:tcPr>
            <w:tcW w:w="5809" w:type="dxa"/>
          </w:tcPr>
          <w:p w:rsidR="00C45CF5" w:rsidRPr="00297F3A" w:rsidRDefault="00C45CF5" w:rsidP="00297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този смисъл се обръщаме към вас със следните въпроси:</w:t>
            </w:r>
          </w:p>
          <w:p w:rsidR="00C45CF5" w:rsidRPr="00297F3A" w:rsidRDefault="00C45CF5" w:rsidP="00297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 С цел подобряване на инфраструктурната среда, допустима дейност ли е Реконструкция  на улица, на която се намира детска градина с 99% деца от ромски произход и ежедневно се ползва от родителите на тези деца, а е в крайно лошо състояние.</w:t>
            </w:r>
          </w:p>
          <w:p w:rsidR="00C45CF5" w:rsidRPr="00297F3A" w:rsidRDefault="00C45CF5" w:rsidP="00297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 За една от задължителните дейности - стартиране на процеса за устройство на територията, какво ще се има предвид като резултат от изпълнение на дейността- само стартиране на процедурите или завършен регулационен план.</w:t>
            </w:r>
          </w:p>
          <w:p w:rsidR="00C45CF5" w:rsidRPr="00297F3A" w:rsidRDefault="00C45CF5" w:rsidP="00297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259" w:type="dxa"/>
          </w:tcPr>
          <w:p w:rsidR="006F3E1C" w:rsidRPr="00297F3A" w:rsidRDefault="00F8762E" w:rsidP="00297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r w:rsidR="006F3E1C"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</w:t>
            </w:r>
            <w:r w:rsidR="006F3E1C"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праведлива част от предвидените инфраструктурни дейности трябва да бъдат насочени към подобряване на условията в сегрегираната целева зона. Една от задължителните дейности – стартиране на процеса за устройство на територията – също ще бъде отчетена като част от дейностите по строителство/ремонт.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Една от примерните дейности и п</w:t>
            </w:r>
            <w:r w:rsidR="006F3E1C"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одобряване на инфраструктурната среда в сегрегираните населени места: инициативи за почистване, осигуряване на повече контейнери и ефективно сметосъбиране, детски площадки и др.</w:t>
            </w:r>
          </w:p>
          <w:p w:rsidR="00C45CF5" w:rsidRPr="00297F3A" w:rsidRDefault="006F3E1C" w:rsidP="00297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Съгласно гореизложено е </w:t>
            </w:r>
            <w:r w:rsidR="00F876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допустимо</w:t>
            </w: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представяне на обосновка от страна на </w:t>
            </w:r>
            <w:r w:rsidR="00F876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андидата.</w:t>
            </w:r>
          </w:p>
          <w:p w:rsidR="006F3E1C" w:rsidRPr="00297F3A" w:rsidRDefault="006F3E1C" w:rsidP="00297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F3E1C" w:rsidRPr="00297F3A" w:rsidRDefault="006F3E1C" w:rsidP="00F876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 На местата с ромско население и население в сходно социално-икономическо състояние, на които липсва регулация на територията в съответствие със Закона за устройство на територията, бенефициентът се </w:t>
            </w:r>
            <w:r w:rsidRPr="00F8762E"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задължава </w:t>
            </w:r>
            <w:r w:rsidRPr="00F8762E"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lastRenderedPageBreak/>
              <w:t xml:space="preserve">да започне </w:t>
            </w:r>
            <w:r w:rsidR="00E92118" w:rsidRPr="00F8762E"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>процедура</w:t>
            </w:r>
            <w:r w:rsidR="00E92118"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разработване и одобряване на регулацията по Закона за устройство на територията</w:t>
            </w:r>
            <w:r w:rsidR="00F876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</w:tc>
      </w:tr>
      <w:tr w:rsidR="00C004D9" w:rsidRPr="007F105A" w:rsidTr="008B2697">
        <w:tc>
          <w:tcPr>
            <w:tcW w:w="1926" w:type="dxa"/>
          </w:tcPr>
          <w:p w:rsidR="008A70D5" w:rsidRPr="00297F3A" w:rsidRDefault="008A70D5" w:rsidP="008A70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Таня Маркова</w:t>
            </w:r>
          </w:p>
          <w:p w:rsidR="008A70D5" w:rsidRPr="00297F3A" w:rsidRDefault="00733916" w:rsidP="008A70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Старши експерт,</w:t>
            </w:r>
          </w:p>
          <w:p w:rsidR="008A70D5" w:rsidRPr="00297F3A" w:rsidRDefault="00733916" w:rsidP="008A70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8A70D5"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бщина Благоевград</w:t>
            </w:r>
          </w:p>
          <w:p w:rsidR="00C45CF5" w:rsidRPr="00297F3A" w:rsidRDefault="00C45CF5" w:rsidP="00C45C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09" w:type="dxa"/>
          </w:tcPr>
          <w:p w:rsidR="008A70D5" w:rsidRPr="00297F3A" w:rsidRDefault="008A70D5" w:rsidP="008A70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Във връзка с отворена покана за подбор на проектни предложения за включване на ромите, финансирана по Програма „Местно развитие, намаляване на бедността и подобрено включване на уязвими групи“, чрез Финансовия механизъм на Европейското икономическо пространство (ФМ на ЕИП) 2014-2021 г., се наблюдава несъответствие относно наименованието на процедурата, както следва:</w:t>
            </w:r>
          </w:p>
          <w:p w:rsidR="008A70D5" w:rsidRPr="00297F3A" w:rsidRDefault="008A70D5" w:rsidP="008A70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·         На интернет-страница https://eumis2020.government.bg - BGLD-3.002 “Интегрирани мерки за приобщаване и овластяване на ромите”</w:t>
            </w:r>
          </w:p>
          <w:p w:rsidR="008A70D5" w:rsidRPr="00297F3A" w:rsidRDefault="008A70D5" w:rsidP="008A70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·         На интернет-страница www.eeagrants.bg същата е посочена като „Интегрирани мерки в подкрепа на ромското включване“, каквото е наименованието и на процедурата в Насоките за кандидатстване</w:t>
            </w:r>
          </w:p>
          <w:p w:rsidR="008A70D5" w:rsidRPr="00297F3A" w:rsidRDefault="008A70D5" w:rsidP="008A70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·         На стр. 33 от горепосочените Насоки - Покана BGLD-3.002 “Интегрирани мерки за включване на ромите“.</w:t>
            </w:r>
          </w:p>
          <w:p w:rsidR="008A70D5" w:rsidRPr="00297F3A" w:rsidRDefault="008A70D5" w:rsidP="008A70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C45CF5" w:rsidRPr="00297F3A" w:rsidRDefault="008A70D5" w:rsidP="008A70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Моля да направите уточнение за номера и точното наименование на горепосочената процедура, и ако е необходимо да се нанесат корекции в ИСУН 2020.</w:t>
            </w:r>
          </w:p>
        </w:tc>
        <w:tc>
          <w:tcPr>
            <w:tcW w:w="6259" w:type="dxa"/>
          </w:tcPr>
          <w:p w:rsidR="00883747" w:rsidRDefault="002B5D7D" w:rsidP="00C45CF5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целите на кандидатстването</w:t>
            </w:r>
            <w:r w:rsidR="005B069D" w:rsidRPr="00297F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процедурата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ИСУН 2020 </w:t>
            </w:r>
            <w:r w:rsidR="008837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 BGLD-3.002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B5D7D">
              <w:rPr>
                <w:rFonts w:ascii="Times New Roman" w:hAnsi="Times New Roman" w:cs="Times New Roman"/>
                <w:sz w:val="24"/>
                <w:szCs w:val="24"/>
              </w:rPr>
              <w:t>Интегрирани мерки за приобщаване и овластяване на ромите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883747" w:rsidRDefault="00883747" w:rsidP="00C45CF5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Наименованието е коригирано в сайта на програмата и в насоките за кандидатстване там, където е открито разминаване.</w:t>
            </w:r>
          </w:p>
          <w:p w:rsidR="00883747" w:rsidRDefault="00883747" w:rsidP="00C45CF5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05528" w:rsidRPr="007F105A" w:rsidTr="008B2697">
        <w:tc>
          <w:tcPr>
            <w:tcW w:w="1926" w:type="dxa"/>
          </w:tcPr>
          <w:p w:rsidR="00C05528" w:rsidRPr="00297F3A" w:rsidRDefault="00C05528" w:rsidP="00C055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55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д-р Милена Аврамова </w:t>
            </w:r>
          </w:p>
        </w:tc>
        <w:tc>
          <w:tcPr>
            <w:tcW w:w="5809" w:type="dxa"/>
          </w:tcPr>
          <w:p w:rsidR="00C05528" w:rsidRPr="00297F3A" w:rsidRDefault="00C05528" w:rsidP="00C055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55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Ние сме две ромски НПО организации от област Варна.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5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Желаем да кандидатстваме по програма EEA and Norway Grants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5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BG-LOCALDEV - Integrated measures for Roma inclusion and empowerme</w:t>
            </w:r>
            <w:r w:rsidR="008B26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nt. </w:t>
            </w:r>
            <w:r w:rsidR="008B26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 xml:space="preserve">Проектът ни е насочен към </w:t>
            </w:r>
            <w:r w:rsidRPr="00C055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жените ромки в областта.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5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Въпросът ни е: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5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Може ли Партия на българските жени </w:t>
            </w:r>
            <w:r w:rsidRPr="00C055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да бъде партньор по проекта?</w:t>
            </w:r>
            <w:r w:rsidRPr="00C055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</w:p>
        </w:tc>
        <w:tc>
          <w:tcPr>
            <w:tcW w:w="6259" w:type="dxa"/>
          </w:tcPr>
          <w:p w:rsidR="00C05528" w:rsidRDefault="008B2697" w:rsidP="00486B92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Съгласно Насоки за кандидатстване по процедурата </w:t>
            </w:r>
            <w:r w:rsidRPr="00314C9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допустими </w:t>
            </w:r>
            <w:r w:rsidR="00486B92" w:rsidRPr="00314C9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партньори</w:t>
            </w:r>
            <w:r w:rsidRPr="00314C9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могат да бъдат всички </w:t>
            </w:r>
            <w:r w:rsidRPr="00857B3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публични органи и неправителствени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</w:p>
          <w:p w:rsidR="00314C98" w:rsidRPr="00314C98" w:rsidRDefault="00314C98" w:rsidP="00314C98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Съгласно Насоките за </w:t>
            </w:r>
            <w:r w:rsidRPr="00314C9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кандидатстване: Не се допускат дейности, насърчаващи политически партии и дейности, </w:t>
            </w:r>
            <w:r w:rsidRPr="00314C9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които пряко или косвено популяризират религиозна доктрина, мисия или определена</w:t>
            </w:r>
            <w:r w:rsidRPr="00314C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вяра.</w:t>
            </w:r>
          </w:p>
          <w:p w:rsidR="00314C98" w:rsidRDefault="00314C98" w:rsidP="00486B92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C1E86" w:rsidRPr="007F105A" w:rsidTr="008B2697">
        <w:tc>
          <w:tcPr>
            <w:tcW w:w="1926" w:type="dxa"/>
          </w:tcPr>
          <w:p w:rsidR="00CC1E86" w:rsidRPr="00CC1E86" w:rsidRDefault="00CC1E86" w:rsidP="00CC1E86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1E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Камен Макавеев, експерт по програма Ромакт</w:t>
            </w:r>
          </w:p>
          <w:p w:rsidR="00CC1E86" w:rsidRPr="00CC1E86" w:rsidRDefault="00CC1E86" w:rsidP="00CC1E86">
            <w:pPr>
              <w:shd w:val="clear" w:color="auto" w:fill="FFFFFF"/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09" w:type="dxa"/>
          </w:tcPr>
          <w:p w:rsidR="00CC1E86" w:rsidRPr="00CC1E86" w:rsidRDefault="00CC1E86" w:rsidP="00CC1E86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1E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Допустим разход ли е закупуването на фургони, които да бъдат предоставени на социално-слаби роми от силно маргинализирани общности, които в момента живеят в постройки, които нямат и най-елементарни условия за живот и са незаконно построени. Общината е определила терени, които да предостави на семейства, които да си построят жилища, но болшинството от тези семейства нямат възможност и ресурси за това. Фургоните са възможност да се подпомогнат като начало тези семейства да разрешат жилищните си проблеми.</w:t>
            </w:r>
          </w:p>
          <w:p w:rsidR="00CC1E86" w:rsidRPr="00CC1E86" w:rsidRDefault="00CC1E86" w:rsidP="00CC1E86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259" w:type="dxa"/>
          </w:tcPr>
          <w:p w:rsidR="00CC1E86" w:rsidRPr="00F65F29" w:rsidRDefault="00CC1E86" w:rsidP="00CC1E86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65F2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Съгласно насоките за кандидатстване: „На местата с ромско население и население в сходно социално-икономическо състояние, на които липсва регулация на територията в съответствие със Закона за устройство на територията, бенефициентът се задължава да започне процедура за разработване и одобряване на регулацията по Закона за устройство на територията“.</w:t>
            </w:r>
          </w:p>
          <w:p w:rsidR="00F65F29" w:rsidRDefault="00F65F29" w:rsidP="00F65F29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Насоките за кандидатстване проектът следва да бъде разработен на база анализ на нуждите и описание на нали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чните местни ресурси и пропуски</w:t>
            </w:r>
            <w:r w:rsidRPr="00857B3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bookmarkStart w:id="0" w:name="_GoBack"/>
            <w:bookmarkEnd w:id="0"/>
            <w:r w:rsidRPr="00857B3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заедно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 </w:t>
            </w:r>
            <w:r w:rsidRPr="00857B3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НПО партньора(-ите) 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активното</w:t>
            </w:r>
            <w:r w:rsidRPr="00857B3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участие на общността. </w:t>
            </w:r>
          </w:p>
          <w:p w:rsidR="00F65F29" w:rsidRPr="00CC1E86" w:rsidRDefault="00F65F29" w:rsidP="00F65F29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Документите,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дейностите и начинът на изпълнението им следва да бъдат решени съвместно с представителите на ромската общност, НПО и други заинтересовани страни</w:t>
            </w:r>
          </w:p>
        </w:tc>
      </w:tr>
      <w:tr w:rsidR="00711E93" w:rsidRPr="007F105A" w:rsidTr="008B2697">
        <w:tc>
          <w:tcPr>
            <w:tcW w:w="1926" w:type="dxa"/>
          </w:tcPr>
          <w:p w:rsidR="00711E93" w:rsidRPr="00711E93" w:rsidRDefault="00711E93" w:rsidP="00711E93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Маргарита Стойчева</w:t>
            </w:r>
            <w:r w:rsidR="0089614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о</w:t>
            </w:r>
            <w:r w:rsidRPr="00711E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бщина Средец </w:t>
            </w:r>
          </w:p>
          <w:p w:rsidR="00711E93" w:rsidRPr="00CC1E86" w:rsidRDefault="00711E93" w:rsidP="00711E93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09" w:type="dxa"/>
          </w:tcPr>
          <w:p w:rsidR="00711E93" w:rsidRPr="00711E93" w:rsidRDefault="00711E93" w:rsidP="00711E93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Предвиждаме да изпълняваме проекта  в партньорство с две неправителствена организация, регистрирани в България.</w:t>
            </w:r>
          </w:p>
          <w:p w:rsidR="00711E93" w:rsidRPr="00711E93" w:rsidRDefault="00711E93" w:rsidP="00711E93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1E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Задължително условие  ли е, в екипа за управление на проекта да участват представители и на двете НПО.</w:t>
            </w:r>
          </w:p>
          <w:p w:rsidR="00711E93" w:rsidRPr="00711E93" w:rsidRDefault="00711E93" w:rsidP="00711E93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11E93" w:rsidRPr="00CC1E86" w:rsidRDefault="00711E93" w:rsidP="00711E93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259" w:type="dxa"/>
          </w:tcPr>
          <w:p w:rsidR="00F65F29" w:rsidRPr="00F65F29" w:rsidRDefault="00F65F29" w:rsidP="00711E93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Партньорите по проекта трябва да са представени в екипа за управление на проекта при съгласно Насоките за кандидатстване: „</w:t>
            </w:r>
            <w:r w:rsidRPr="00F65F2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В екипа за управление трябва да участва поне един представител на неправителствена организация-партньор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“.</w:t>
            </w:r>
          </w:p>
          <w:p w:rsidR="00711E93" w:rsidRPr="00711E93" w:rsidRDefault="00711E93" w:rsidP="00F65F29">
            <w:pPr>
              <w:tabs>
                <w:tab w:val="left" w:pos="1574"/>
              </w:tabs>
              <w:spacing w:before="120" w:after="120"/>
              <w:ind w:right="-57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bg-BG"/>
              </w:rPr>
            </w:pPr>
          </w:p>
        </w:tc>
      </w:tr>
    </w:tbl>
    <w:p w:rsidR="00B36161" w:rsidRDefault="00B36161" w:rsidP="00C05528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36161" w:rsidSect="0094765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88" w:rsidRDefault="00B70D88" w:rsidP="005C48D2">
      <w:pPr>
        <w:spacing w:after="0" w:line="240" w:lineRule="auto"/>
      </w:pPr>
      <w:r>
        <w:separator/>
      </w:r>
    </w:p>
  </w:endnote>
  <w:endnote w:type="continuationSeparator" w:id="0">
    <w:p w:rsidR="00B70D88" w:rsidRDefault="00B70D88" w:rsidP="005C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88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C48D2" w:rsidRPr="005C48D2" w:rsidRDefault="005C48D2" w:rsidP="005C48D2">
        <w:pPr>
          <w:pStyle w:val="Footer"/>
          <w:jc w:val="center"/>
          <w:rPr>
            <w:rFonts w:ascii="Times New Roman" w:hAnsi="Times New Roman" w:cs="Times New Roman"/>
          </w:rPr>
        </w:pPr>
        <w:r w:rsidRPr="005C48D2">
          <w:rPr>
            <w:rFonts w:ascii="Times New Roman" w:hAnsi="Times New Roman" w:cs="Times New Roman"/>
          </w:rPr>
          <w:fldChar w:fldCharType="begin"/>
        </w:r>
        <w:r w:rsidRPr="005C48D2">
          <w:rPr>
            <w:rFonts w:ascii="Times New Roman" w:hAnsi="Times New Roman" w:cs="Times New Roman"/>
          </w:rPr>
          <w:instrText xml:space="preserve"> PAGE   \* MERGEFORMAT </w:instrText>
        </w:r>
        <w:r w:rsidRPr="005C48D2">
          <w:rPr>
            <w:rFonts w:ascii="Times New Roman" w:hAnsi="Times New Roman" w:cs="Times New Roman"/>
          </w:rPr>
          <w:fldChar w:fldCharType="separate"/>
        </w:r>
        <w:r w:rsidR="00F65F29">
          <w:rPr>
            <w:rFonts w:ascii="Times New Roman" w:hAnsi="Times New Roman" w:cs="Times New Roman"/>
            <w:noProof/>
          </w:rPr>
          <w:t>12</w:t>
        </w:r>
        <w:r w:rsidRPr="005C48D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88" w:rsidRDefault="00B70D88" w:rsidP="005C48D2">
      <w:pPr>
        <w:spacing w:after="0" w:line="240" w:lineRule="auto"/>
      </w:pPr>
      <w:r>
        <w:separator/>
      </w:r>
    </w:p>
  </w:footnote>
  <w:footnote w:type="continuationSeparator" w:id="0">
    <w:p w:rsidR="00B70D88" w:rsidRDefault="00B70D88" w:rsidP="005C48D2">
      <w:pPr>
        <w:spacing w:after="0" w:line="240" w:lineRule="auto"/>
      </w:pPr>
      <w:r>
        <w:continuationSeparator/>
      </w:r>
    </w:p>
  </w:footnote>
  <w:footnote w:id="1">
    <w:p w:rsidR="009D21C4" w:rsidRPr="007C3D9B" w:rsidRDefault="009D21C4" w:rsidP="009D21C4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8961E8">
        <w:rPr>
          <w:rFonts w:ascii="Times New Roman" w:hAnsi="Times New Roman"/>
          <w:lang w:val="bg-BG"/>
        </w:rPr>
        <w:t xml:space="preserve">Ромската </w:t>
      </w:r>
      <w:r>
        <w:rPr>
          <w:rFonts w:ascii="Times New Roman" w:hAnsi="Times New Roman"/>
          <w:lang w:val="bg-BG"/>
        </w:rPr>
        <w:t xml:space="preserve">организация се ръководи от лице, идентифициращо се с ромска етническа принадлежност </w:t>
      </w:r>
      <w:r w:rsidRPr="008961E8">
        <w:rPr>
          <w:rFonts w:ascii="Times New Roman" w:hAnsi="Times New Roman"/>
          <w:lang w:val="bg-BG"/>
        </w:rPr>
        <w:t xml:space="preserve">и/или </w:t>
      </w:r>
      <w:r>
        <w:rPr>
          <w:rFonts w:ascii="Times New Roman" w:hAnsi="Times New Roman"/>
          <w:lang w:val="bg-BG"/>
        </w:rPr>
        <w:t xml:space="preserve">поне половината от състава на управляващия й орган се </w:t>
      </w:r>
      <w:r w:rsidRPr="008961E8">
        <w:rPr>
          <w:rFonts w:ascii="Times New Roman" w:hAnsi="Times New Roman"/>
          <w:lang w:val="bg-BG"/>
        </w:rPr>
        <w:t>състои от лица, идентифицира</w:t>
      </w:r>
      <w:r>
        <w:rPr>
          <w:rFonts w:ascii="Times New Roman" w:hAnsi="Times New Roman"/>
          <w:lang w:val="bg-BG"/>
        </w:rPr>
        <w:t xml:space="preserve">щи се </w:t>
      </w:r>
      <w:r w:rsidRPr="008961E8">
        <w:rPr>
          <w:rFonts w:ascii="Times New Roman" w:hAnsi="Times New Roman"/>
          <w:lang w:val="bg-BG"/>
        </w:rPr>
        <w:t>с ромска етническа принадлежност.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09A"/>
    <w:multiLevelType w:val="hybridMultilevel"/>
    <w:tmpl w:val="A4AE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0C7"/>
    <w:multiLevelType w:val="hybridMultilevel"/>
    <w:tmpl w:val="E06AF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79E1"/>
    <w:multiLevelType w:val="hybridMultilevel"/>
    <w:tmpl w:val="6B646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F6868"/>
    <w:multiLevelType w:val="hybridMultilevel"/>
    <w:tmpl w:val="E06AF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06C69"/>
    <w:multiLevelType w:val="hybridMultilevel"/>
    <w:tmpl w:val="EE62D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063A9"/>
    <w:multiLevelType w:val="hybridMultilevel"/>
    <w:tmpl w:val="E2C2C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5741E"/>
    <w:multiLevelType w:val="hybridMultilevel"/>
    <w:tmpl w:val="85CEA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23BF9"/>
    <w:multiLevelType w:val="hybridMultilevel"/>
    <w:tmpl w:val="612EB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C6F9A"/>
    <w:multiLevelType w:val="hybridMultilevel"/>
    <w:tmpl w:val="89227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72C24"/>
    <w:multiLevelType w:val="hybridMultilevel"/>
    <w:tmpl w:val="AE44D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FA"/>
    <w:rsid w:val="00015594"/>
    <w:rsid w:val="0002226B"/>
    <w:rsid w:val="0003563E"/>
    <w:rsid w:val="00035DEA"/>
    <w:rsid w:val="00050761"/>
    <w:rsid w:val="00055910"/>
    <w:rsid w:val="00061155"/>
    <w:rsid w:val="0007330E"/>
    <w:rsid w:val="000A772E"/>
    <w:rsid w:val="000B66A8"/>
    <w:rsid w:val="000D329B"/>
    <w:rsid w:val="000E4B67"/>
    <w:rsid w:val="000E5BB0"/>
    <w:rsid w:val="000F650C"/>
    <w:rsid w:val="00104110"/>
    <w:rsid w:val="00113C1F"/>
    <w:rsid w:val="00115E19"/>
    <w:rsid w:val="001164D7"/>
    <w:rsid w:val="001173D1"/>
    <w:rsid w:val="001203EF"/>
    <w:rsid w:val="00123B5A"/>
    <w:rsid w:val="001277C2"/>
    <w:rsid w:val="00136598"/>
    <w:rsid w:val="001571F2"/>
    <w:rsid w:val="00187DB9"/>
    <w:rsid w:val="001A1C6A"/>
    <w:rsid w:val="001B0E5E"/>
    <w:rsid w:val="001C48F5"/>
    <w:rsid w:val="001E0AC2"/>
    <w:rsid w:val="00200588"/>
    <w:rsid w:val="00202F62"/>
    <w:rsid w:val="00231D0E"/>
    <w:rsid w:val="0023737C"/>
    <w:rsid w:val="002463CC"/>
    <w:rsid w:val="00261B55"/>
    <w:rsid w:val="002625C4"/>
    <w:rsid w:val="00274301"/>
    <w:rsid w:val="0027440F"/>
    <w:rsid w:val="0027449B"/>
    <w:rsid w:val="00284EA3"/>
    <w:rsid w:val="002911B1"/>
    <w:rsid w:val="002934C7"/>
    <w:rsid w:val="00295BDE"/>
    <w:rsid w:val="00297F3A"/>
    <w:rsid w:val="002B44C8"/>
    <w:rsid w:val="002B5D7D"/>
    <w:rsid w:val="002E14AD"/>
    <w:rsid w:val="002F1118"/>
    <w:rsid w:val="00307EFA"/>
    <w:rsid w:val="00311F32"/>
    <w:rsid w:val="003132C1"/>
    <w:rsid w:val="00314C98"/>
    <w:rsid w:val="00330D69"/>
    <w:rsid w:val="00367287"/>
    <w:rsid w:val="00367E5A"/>
    <w:rsid w:val="00373BEF"/>
    <w:rsid w:val="0037726E"/>
    <w:rsid w:val="00377F5D"/>
    <w:rsid w:val="00393934"/>
    <w:rsid w:val="003A3704"/>
    <w:rsid w:val="003B6827"/>
    <w:rsid w:val="003C4BB6"/>
    <w:rsid w:val="003D6DC7"/>
    <w:rsid w:val="003E15E4"/>
    <w:rsid w:val="004028AA"/>
    <w:rsid w:val="00404B91"/>
    <w:rsid w:val="00415A49"/>
    <w:rsid w:val="00416805"/>
    <w:rsid w:val="00421145"/>
    <w:rsid w:val="0042276A"/>
    <w:rsid w:val="0043625D"/>
    <w:rsid w:val="004510E1"/>
    <w:rsid w:val="00486B92"/>
    <w:rsid w:val="00491A71"/>
    <w:rsid w:val="004A027D"/>
    <w:rsid w:val="004E5312"/>
    <w:rsid w:val="0051286C"/>
    <w:rsid w:val="00520366"/>
    <w:rsid w:val="00524B10"/>
    <w:rsid w:val="00526D76"/>
    <w:rsid w:val="00532AB9"/>
    <w:rsid w:val="00534D3B"/>
    <w:rsid w:val="00563C04"/>
    <w:rsid w:val="0056641F"/>
    <w:rsid w:val="00580425"/>
    <w:rsid w:val="005828FA"/>
    <w:rsid w:val="00582936"/>
    <w:rsid w:val="0058578D"/>
    <w:rsid w:val="005923CA"/>
    <w:rsid w:val="005B069D"/>
    <w:rsid w:val="005B2480"/>
    <w:rsid w:val="005C2188"/>
    <w:rsid w:val="005C48D2"/>
    <w:rsid w:val="005E157C"/>
    <w:rsid w:val="005E5BFA"/>
    <w:rsid w:val="005F46EB"/>
    <w:rsid w:val="005F7826"/>
    <w:rsid w:val="00602B76"/>
    <w:rsid w:val="00604139"/>
    <w:rsid w:val="00611E26"/>
    <w:rsid w:val="006139C4"/>
    <w:rsid w:val="006352A5"/>
    <w:rsid w:val="00635D4D"/>
    <w:rsid w:val="006368DE"/>
    <w:rsid w:val="00643E39"/>
    <w:rsid w:val="00643F78"/>
    <w:rsid w:val="00657377"/>
    <w:rsid w:val="00661EC7"/>
    <w:rsid w:val="00676DCC"/>
    <w:rsid w:val="00690835"/>
    <w:rsid w:val="00694EFA"/>
    <w:rsid w:val="00696DA8"/>
    <w:rsid w:val="006B0DCA"/>
    <w:rsid w:val="006D318E"/>
    <w:rsid w:val="006E4CD9"/>
    <w:rsid w:val="006F3E1C"/>
    <w:rsid w:val="006F423D"/>
    <w:rsid w:val="006F6646"/>
    <w:rsid w:val="0070267D"/>
    <w:rsid w:val="00702F94"/>
    <w:rsid w:val="007064E8"/>
    <w:rsid w:val="00711E93"/>
    <w:rsid w:val="007171B1"/>
    <w:rsid w:val="007204F0"/>
    <w:rsid w:val="00725E3A"/>
    <w:rsid w:val="00733916"/>
    <w:rsid w:val="007471E3"/>
    <w:rsid w:val="00747A1C"/>
    <w:rsid w:val="007501E8"/>
    <w:rsid w:val="00753348"/>
    <w:rsid w:val="007544DD"/>
    <w:rsid w:val="00763A81"/>
    <w:rsid w:val="00771236"/>
    <w:rsid w:val="00781186"/>
    <w:rsid w:val="00785520"/>
    <w:rsid w:val="007A17BF"/>
    <w:rsid w:val="007A5813"/>
    <w:rsid w:val="007B10AD"/>
    <w:rsid w:val="007B2B7F"/>
    <w:rsid w:val="007B60C8"/>
    <w:rsid w:val="007D6B51"/>
    <w:rsid w:val="007F105A"/>
    <w:rsid w:val="007F4DF7"/>
    <w:rsid w:val="00800B5F"/>
    <w:rsid w:val="008021DE"/>
    <w:rsid w:val="008145B0"/>
    <w:rsid w:val="008151FB"/>
    <w:rsid w:val="008160A4"/>
    <w:rsid w:val="00820767"/>
    <w:rsid w:val="00834C60"/>
    <w:rsid w:val="00841E91"/>
    <w:rsid w:val="00846331"/>
    <w:rsid w:val="008577B8"/>
    <w:rsid w:val="00867C12"/>
    <w:rsid w:val="008809C1"/>
    <w:rsid w:val="00883747"/>
    <w:rsid w:val="00885C96"/>
    <w:rsid w:val="008877BE"/>
    <w:rsid w:val="0089614A"/>
    <w:rsid w:val="008A2360"/>
    <w:rsid w:val="008A70D5"/>
    <w:rsid w:val="008A7CB6"/>
    <w:rsid w:val="008B165E"/>
    <w:rsid w:val="008B2697"/>
    <w:rsid w:val="008B3CC0"/>
    <w:rsid w:val="008C2532"/>
    <w:rsid w:val="008C3195"/>
    <w:rsid w:val="008E54D2"/>
    <w:rsid w:val="0090420F"/>
    <w:rsid w:val="009070FE"/>
    <w:rsid w:val="0092211D"/>
    <w:rsid w:val="009341BF"/>
    <w:rsid w:val="00947657"/>
    <w:rsid w:val="0095734B"/>
    <w:rsid w:val="009716EC"/>
    <w:rsid w:val="0099543F"/>
    <w:rsid w:val="0099594B"/>
    <w:rsid w:val="00996744"/>
    <w:rsid w:val="009A39EF"/>
    <w:rsid w:val="009C328E"/>
    <w:rsid w:val="009D21C4"/>
    <w:rsid w:val="009D47C0"/>
    <w:rsid w:val="009E7708"/>
    <w:rsid w:val="009F0BBE"/>
    <w:rsid w:val="009F3CF9"/>
    <w:rsid w:val="00A13F6E"/>
    <w:rsid w:val="00A16CDA"/>
    <w:rsid w:val="00A16F0F"/>
    <w:rsid w:val="00A304CE"/>
    <w:rsid w:val="00A35E38"/>
    <w:rsid w:val="00A421D3"/>
    <w:rsid w:val="00A564D9"/>
    <w:rsid w:val="00A627BB"/>
    <w:rsid w:val="00A67CD9"/>
    <w:rsid w:val="00A75947"/>
    <w:rsid w:val="00A823A5"/>
    <w:rsid w:val="00A85EC1"/>
    <w:rsid w:val="00A91DD6"/>
    <w:rsid w:val="00A97BC0"/>
    <w:rsid w:val="00AA1453"/>
    <w:rsid w:val="00AA2B61"/>
    <w:rsid w:val="00AA2D33"/>
    <w:rsid w:val="00AC4D66"/>
    <w:rsid w:val="00AE383E"/>
    <w:rsid w:val="00AF61E2"/>
    <w:rsid w:val="00B01328"/>
    <w:rsid w:val="00B20A19"/>
    <w:rsid w:val="00B30AA7"/>
    <w:rsid w:val="00B31453"/>
    <w:rsid w:val="00B332CA"/>
    <w:rsid w:val="00B36161"/>
    <w:rsid w:val="00B5352D"/>
    <w:rsid w:val="00B61B78"/>
    <w:rsid w:val="00B63844"/>
    <w:rsid w:val="00B70D88"/>
    <w:rsid w:val="00B76088"/>
    <w:rsid w:val="00B77740"/>
    <w:rsid w:val="00B82EAF"/>
    <w:rsid w:val="00B96E67"/>
    <w:rsid w:val="00BA2CBF"/>
    <w:rsid w:val="00BA5625"/>
    <w:rsid w:val="00BA7A53"/>
    <w:rsid w:val="00BB50F6"/>
    <w:rsid w:val="00BE0D33"/>
    <w:rsid w:val="00BE22E6"/>
    <w:rsid w:val="00BE23E6"/>
    <w:rsid w:val="00BE512A"/>
    <w:rsid w:val="00BF6582"/>
    <w:rsid w:val="00C004D9"/>
    <w:rsid w:val="00C05528"/>
    <w:rsid w:val="00C26B74"/>
    <w:rsid w:val="00C4066E"/>
    <w:rsid w:val="00C45CF5"/>
    <w:rsid w:val="00C552A5"/>
    <w:rsid w:val="00C664AE"/>
    <w:rsid w:val="00C714B8"/>
    <w:rsid w:val="00C73768"/>
    <w:rsid w:val="00C823AA"/>
    <w:rsid w:val="00C8536B"/>
    <w:rsid w:val="00C92BB8"/>
    <w:rsid w:val="00C947D7"/>
    <w:rsid w:val="00CB6FC2"/>
    <w:rsid w:val="00CC1E86"/>
    <w:rsid w:val="00CE2E24"/>
    <w:rsid w:val="00CF1648"/>
    <w:rsid w:val="00CF3A44"/>
    <w:rsid w:val="00CF5F5E"/>
    <w:rsid w:val="00D0076B"/>
    <w:rsid w:val="00D01233"/>
    <w:rsid w:val="00D27FF9"/>
    <w:rsid w:val="00D31342"/>
    <w:rsid w:val="00D31413"/>
    <w:rsid w:val="00D420D4"/>
    <w:rsid w:val="00D504D2"/>
    <w:rsid w:val="00D5401E"/>
    <w:rsid w:val="00D56FEC"/>
    <w:rsid w:val="00D66B8B"/>
    <w:rsid w:val="00DB0F1E"/>
    <w:rsid w:val="00DB10AE"/>
    <w:rsid w:val="00DC1D72"/>
    <w:rsid w:val="00DD24FB"/>
    <w:rsid w:val="00DD6474"/>
    <w:rsid w:val="00E02D62"/>
    <w:rsid w:val="00E076E6"/>
    <w:rsid w:val="00E113E3"/>
    <w:rsid w:val="00E152E7"/>
    <w:rsid w:val="00E164BB"/>
    <w:rsid w:val="00E17620"/>
    <w:rsid w:val="00E239DF"/>
    <w:rsid w:val="00E37575"/>
    <w:rsid w:val="00E52452"/>
    <w:rsid w:val="00E55520"/>
    <w:rsid w:val="00E5659F"/>
    <w:rsid w:val="00E650AF"/>
    <w:rsid w:val="00E87528"/>
    <w:rsid w:val="00E92118"/>
    <w:rsid w:val="00E96099"/>
    <w:rsid w:val="00EA4CAB"/>
    <w:rsid w:val="00EB3822"/>
    <w:rsid w:val="00EC62DF"/>
    <w:rsid w:val="00EE3529"/>
    <w:rsid w:val="00EF21F8"/>
    <w:rsid w:val="00EF3273"/>
    <w:rsid w:val="00F20314"/>
    <w:rsid w:val="00F2240B"/>
    <w:rsid w:val="00F2255D"/>
    <w:rsid w:val="00F31BE0"/>
    <w:rsid w:val="00F35BB0"/>
    <w:rsid w:val="00F40CBB"/>
    <w:rsid w:val="00F41272"/>
    <w:rsid w:val="00F42512"/>
    <w:rsid w:val="00F44261"/>
    <w:rsid w:val="00F65F29"/>
    <w:rsid w:val="00F75328"/>
    <w:rsid w:val="00F763F3"/>
    <w:rsid w:val="00F7785D"/>
    <w:rsid w:val="00F818D7"/>
    <w:rsid w:val="00F843E2"/>
    <w:rsid w:val="00F8762E"/>
    <w:rsid w:val="00F94815"/>
    <w:rsid w:val="00FA4D5B"/>
    <w:rsid w:val="00FA796A"/>
    <w:rsid w:val="00FB1CDF"/>
    <w:rsid w:val="00FB5D0A"/>
    <w:rsid w:val="00FC27D8"/>
    <w:rsid w:val="00FD0DF8"/>
    <w:rsid w:val="00FD59A5"/>
    <w:rsid w:val="00FD5C64"/>
    <w:rsid w:val="00F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360C03"/>
  <w15:chartTrackingRefBased/>
  <w15:docId w15:val="{971B754B-6E58-47DE-9502-CB7EC59F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D2"/>
  </w:style>
  <w:style w:type="paragraph" w:styleId="Footer">
    <w:name w:val="footer"/>
    <w:basedOn w:val="Normal"/>
    <w:link w:val="FooterChar"/>
    <w:uiPriority w:val="99"/>
    <w:unhideWhenUsed/>
    <w:rsid w:val="005C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D2"/>
  </w:style>
  <w:style w:type="table" w:styleId="TableGrid">
    <w:name w:val="Table Grid"/>
    <w:basedOn w:val="TableNormal"/>
    <w:uiPriority w:val="39"/>
    <w:rsid w:val="0094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4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7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3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C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21C4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1C4"/>
    <w:rPr>
      <w:rFonts w:eastAsiaTheme="minorEastAs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21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593906039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7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6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8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83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47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50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8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8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9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4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06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5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560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11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3818</Words>
  <Characters>21766</Characters>
  <Application>Microsoft Office Word</Application>
  <DocSecurity>0</DocSecurity>
  <Lines>181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Mincheva</dc:creator>
  <cp:keywords/>
  <dc:description/>
  <cp:lastModifiedBy>Maria Teodorova</cp:lastModifiedBy>
  <cp:revision>12</cp:revision>
  <dcterms:created xsi:type="dcterms:W3CDTF">2021-08-23T11:14:00Z</dcterms:created>
  <dcterms:modified xsi:type="dcterms:W3CDTF">2021-09-08T06:33:00Z</dcterms:modified>
</cp:coreProperties>
</file>