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674B" w14:textId="631B28C7" w:rsidR="00C62FE0" w:rsidRDefault="00C62FE0" w:rsidP="00C62FE0">
      <w:pPr>
        <w:spacing w:after="0" w:line="240" w:lineRule="auto"/>
        <w:jc w:val="center"/>
        <w:rPr>
          <w:b/>
          <w:sz w:val="36"/>
          <w:szCs w:val="36"/>
        </w:rPr>
      </w:pPr>
    </w:p>
    <w:p w14:paraId="3C106F34" w14:textId="77777777" w:rsidR="00C62FE0" w:rsidRDefault="00C62FE0" w:rsidP="00C62FE0">
      <w:pPr>
        <w:spacing w:after="0" w:line="240" w:lineRule="auto"/>
        <w:jc w:val="center"/>
        <w:rPr>
          <w:b/>
          <w:sz w:val="36"/>
          <w:szCs w:val="36"/>
        </w:rPr>
      </w:pPr>
    </w:p>
    <w:p w14:paraId="5D86F841" w14:textId="77777777" w:rsidR="00C62FE0" w:rsidRDefault="00C62FE0" w:rsidP="00C62FE0">
      <w:pPr>
        <w:spacing w:after="0" w:line="240" w:lineRule="auto"/>
        <w:jc w:val="center"/>
        <w:rPr>
          <w:b/>
          <w:sz w:val="36"/>
          <w:szCs w:val="36"/>
        </w:rPr>
      </w:pPr>
    </w:p>
    <w:p w14:paraId="1DEEB1B4" w14:textId="77777777" w:rsidR="00C62FE0" w:rsidRPr="00D00605" w:rsidRDefault="00C62FE0" w:rsidP="00D00605">
      <w:pPr>
        <w:spacing w:after="0" w:line="240" w:lineRule="auto"/>
        <w:jc w:val="center"/>
        <w:rPr>
          <w:b/>
          <w:sz w:val="28"/>
          <w:szCs w:val="28"/>
        </w:rPr>
      </w:pPr>
    </w:p>
    <w:p w14:paraId="692402EE" w14:textId="77777777" w:rsidR="00C62FE0" w:rsidRPr="00D00605" w:rsidRDefault="00C62FE0" w:rsidP="00D00605">
      <w:pPr>
        <w:spacing w:after="0" w:line="240" w:lineRule="auto"/>
        <w:jc w:val="center"/>
        <w:rPr>
          <w:rFonts w:ascii="Times New Roman" w:hAnsi="Times New Roman"/>
          <w:b/>
          <w:sz w:val="28"/>
          <w:szCs w:val="28"/>
          <w:lang w:val="ru-RU"/>
        </w:rPr>
      </w:pPr>
      <w:r w:rsidRPr="00D00605">
        <w:rPr>
          <w:rFonts w:ascii="Times New Roman" w:hAnsi="Times New Roman"/>
          <w:b/>
          <w:sz w:val="28"/>
          <w:szCs w:val="28"/>
        </w:rPr>
        <w:t>УСЛОВИЯ ЗА КАНДИДАТСТВАНЕ</w:t>
      </w:r>
    </w:p>
    <w:p w14:paraId="25915BAC" w14:textId="77777777" w:rsidR="00C62FE0" w:rsidRPr="00D00605" w:rsidRDefault="00C62FE0" w:rsidP="00D00605">
      <w:pPr>
        <w:spacing w:after="0" w:line="240" w:lineRule="auto"/>
        <w:jc w:val="center"/>
        <w:rPr>
          <w:rFonts w:ascii="Times New Roman" w:hAnsi="Times New Roman"/>
          <w:b/>
          <w:sz w:val="28"/>
          <w:szCs w:val="28"/>
          <w:lang w:val="ru-RU"/>
        </w:rPr>
      </w:pPr>
    </w:p>
    <w:p w14:paraId="5476AEF3" w14:textId="77777777" w:rsidR="00C62FE0" w:rsidRPr="00D00605" w:rsidRDefault="00C62FE0" w:rsidP="00D00605">
      <w:pPr>
        <w:spacing w:after="0"/>
        <w:jc w:val="center"/>
        <w:rPr>
          <w:rFonts w:ascii="Times New Roman" w:hAnsi="Times New Roman"/>
          <w:b/>
          <w:sz w:val="28"/>
          <w:szCs w:val="28"/>
          <w:lang w:val="ru-RU"/>
        </w:rPr>
      </w:pPr>
      <w:r w:rsidRPr="00D00605">
        <w:rPr>
          <w:rFonts w:ascii="Times New Roman" w:hAnsi="Times New Roman"/>
          <w:b/>
          <w:sz w:val="28"/>
          <w:szCs w:val="28"/>
        </w:rPr>
        <w:t>с проектни предложения за предоставяне на безвъзмездна финансова помощ по</w:t>
      </w:r>
    </w:p>
    <w:p w14:paraId="68227578" w14:textId="77777777" w:rsidR="00C62FE0" w:rsidRPr="00D00605" w:rsidRDefault="00C62FE0" w:rsidP="00D00605">
      <w:pPr>
        <w:spacing w:after="0"/>
        <w:jc w:val="center"/>
        <w:rPr>
          <w:rFonts w:ascii="Times New Roman" w:hAnsi="Times New Roman"/>
          <w:b/>
          <w:sz w:val="28"/>
          <w:szCs w:val="28"/>
          <w:lang w:val="ru-RU"/>
        </w:rPr>
      </w:pPr>
    </w:p>
    <w:p w14:paraId="0D016A98" w14:textId="77777777" w:rsidR="00C62FE0" w:rsidRPr="00D00605" w:rsidRDefault="00C62FE0" w:rsidP="00D00605">
      <w:pPr>
        <w:spacing w:after="0"/>
        <w:jc w:val="center"/>
        <w:rPr>
          <w:rFonts w:ascii="Times New Roman" w:hAnsi="Times New Roman"/>
          <w:b/>
          <w:sz w:val="28"/>
          <w:szCs w:val="28"/>
        </w:rPr>
      </w:pPr>
      <w:r w:rsidRPr="00D00605">
        <w:rPr>
          <w:rFonts w:ascii="Times New Roman" w:hAnsi="Times New Roman"/>
          <w:b/>
          <w:sz w:val="28"/>
          <w:szCs w:val="28"/>
        </w:rPr>
        <w:t>Стратегията за водено от общностите местно развитие на                                        МИГ  Костинброд-Своге</w:t>
      </w:r>
    </w:p>
    <w:p w14:paraId="0A62EF36" w14:textId="77777777" w:rsidR="00C62FE0" w:rsidRPr="00D00605" w:rsidRDefault="00C62FE0" w:rsidP="00D00605">
      <w:pPr>
        <w:spacing w:after="0"/>
        <w:jc w:val="center"/>
        <w:rPr>
          <w:rFonts w:ascii="Times New Roman" w:hAnsi="Times New Roman"/>
          <w:b/>
          <w:sz w:val="28"/>
          <w:szCs w:val="28"/>
        </w:rPr>
      </w:pPr>
      <w:r w:rsidRPr="00D00605">
        <w:rPr>
          <w:rFonts w:ascii="Times New Roman" w:hAnsi="Times New Roman"/>
          <w:b/>
          <w:sz w:val="28"/>
          <w:szCs w:val="28"/>
        </w:rPr>
        <w:t>от</w:t>
      </w:r>
    </w:p>
    <w:p w14:paraId="107FA19E" w14:textId="77777777" w:rsidR="00C62FE0" w:rsidRPr="00D00605" w:rsidRDefault="00C62FE0" w:rsidP="00D00605">
      <w:pPr>
        <w:spacing w:after="60"/>
        <w:jc w:val="center"/>
        <w:rPr>
          <w:rFonts w:ascii="Times New Roman" w:eastAsia="Times New Roman" w:hAnsi="Times New Roman"/>
          <w:b/>
          <w:snapToGrid w:val="0"/>
          <w:sz w:val="28"/>
          <w:szCs w:val="28"/>
        </w:rPr>
      </w:pPr>
      <w:r w:rsidRPr="00D00605">
        <w:rPr>
          <w:rFonts w:ascii="Times New Roman" w:eastAsia="SimSun" w:hAnsi="Times New Roman"/>
          <w:b/>
          <w:sz w:val="28"/>
          <w:szCs w:val="28"/>
        </w:rPr>
        <w:t>Програма за развитие на селските райони</w:t>
      </w:r>
      <w:r w:rsidRPr="00D00605">
        <w:rPr>
          <w:rFonts w:ascii="Times New Roman" w:eastAsia="Times New Roman" w:hAnsi="Times New Roman"/>
          <w:b/>
          <w:snapToGrid w:val="0"/>
          <w:sz w:val="28"/>
          <w:szCs w:val="28"/>
        </w:rPr>
        <w:t xml:space="preserve"> 2014-2020</w:t>
      </w:r>
    </w:p>
    <w:p w14:paraId="0B67EA51" w14:textId="77777777" w:rsidR="00C62FE0" w:rsidRPr="00D00605" w:rsidRDefault="00C62FE0" w:rsidP="00D00605">
      <w:pPr>
        <w:spacing w:after="240"/>
        <w:jc w:val="center"/>
        <w:rPr>
          <w:rFonts w:ascii="Times New Roman" w:eastAsia="Times New Roman" w:hAnsi="Times New Roman"/>
          <w:b/>
          <w:snapToGrid w:val="0"/>
          <w:sz w:val="28"/>
          <w:szCs w:val="28"/>
          <w:lang w:val="ru-RU"/>
        </w:rPr>
      </w:pPr>
    </w:p>
    <w:p w14:paraId="2C94D695" w14:textId="77777777" w:rsidR="00C62FE0" w:rsidRPr="00D00605" w:rsidRDefault="00C62FE0" w:rsidP="00D00605">
      <w:pPr>
        <w:spacing w:after="240"/>
        <w:jc w:val="center"/>
        <w:rPr>
          <w:rFonts w:ascii="Times New Roman" w:eastAsia="Times New Roman" w:hAnsi="Times New Roman"/>
          <w:b/>
          <w:snapToGrid w:val="0"/>
          <w:sz w:val="28"/>
          <w:szCs w:val="28"/>
          <w:lang w:val="ru-RU"/>
        </w:rPr>
      </w:pPr>
    </w:p>
    <w:p w14:paraId="64F8CB99" w14:textId="77777777" w:rsidR="00C62FE0" w:rsidRPr="00D00605" w:rsidRDefault="00C62FE0" w:rsidP="00D00605">
      <w:pPr>
        <w:spacing w:after="240"/>
        <w:jc w:val="center"/>
        <w:rPr>
          <w:rFonts w:ascii="Times New Roman" w:hAnsi="Times New Roman"/>
          <w:b/>
          <w:sz w:val="28"/>
          <w:szCs w:val="28"/>
        </w:rPr>
      </w:pPr>
      <w:r w:rsidRPr="00D00605">
        <w:rPr>
          <w:rFonts w:ascii="Times New Roman" w:hAnsi="Times New Roman"/>
          <w:b/>
          <w:sz w:val="28"/>
          <w:szCs w:val="28"/>
        </w:rPr>
        <w:t>Процедура за подбор на проекти по</w:t>
      </w:r>
    </w:p>
    <w:p w14:paraId="37A792A3" w14:textId="7C65C583" w:rsidR="00FF061F" w:rsidRPr="00D00605" w:rsidRDefault="0037549B" w:rsidP="00D00605">
      <w:pPr>
        <w:jc w:val="center"/>
        <w:rPr>
          <w:rFonts w:ascii="Times New Roman" w:hAnsi="Times New Roman"/>
          <w:b/>
          <w:bCs/>
          <w:sz w:val="28"/>
          <w:szCs w:val="28"/>
          <w:lang w:eastAsia="bg-BG"/>
        </w:rPr>
      </w:pPr>
      <w:r w:rsidRPr="00D00605">
        <w:rPr>
          <w:rFonts w:ascii="Times New Roman" w:hAnsi="Times New Roman"/>
          <w:b/>
          <w:bCs/>
          <w:sz w:val="28"/>
          <w:szCs w:val="28"/>
          <w:lang w:eastAsia="bg-BG"/>
        </w:rPr>
        <w:t xml:space="preserve">МИГ Костинброд-Своге </w:t>
      </w:r>
      <w:r w:rsidR="00774AF7" w:rsidRPr="00D00605">
        <w:rPr>
          <w:rFonts w:ascii="Times New Roman" w:hAnsi="Times New Roman"/>
          <w:b/>
          <w:bCs/>
          <w:sz w:val="28"/>
          <w:szCs w:val="28"/>
          <w:lang w:val="en-US" w:eastAsia="bg-BG"/>
        </w:rPr>
        <w:t>BG</w:t>
      </w:r>
      <w:r w:rsidR="00492714">
        <w:rPr>
          <w:rFonts w:ascii="Times New Roman" w:hAnsi="Times New Roman"/>
          <w:b/>
          <w:bCs/>
          <w:sz w:val="28"/>
          <w:szCs w:val="28"/>
          <w:lang w:val="en-US" w:eastAsia="bg-BG"/>
        </w:rPr>
        <w:t>06RDNP001-19</w:t>
      </w:r>
      <w:r w:rsidR="000528CD">
        <w:rPr>
          <w:rFonts w:ascii="Times New Roman" w:hAnsi="Times New Roman"/>
          <w:b/>
          <w:bCs/>
          <w:sz w:val="28"/>
          <w:szCs w:val="28"/>
          <w:lang w:eastAsia="bg-BG"/>
        </w:rPr>
        <w:t xml:space="preserve">.679 </w:t>
      </w:r>
      <w:r w:rsidR="00C62FE0" w:rsidRPr="00D00605">
        <w:rPr>
          <w:rFonts w:ascii="Times New Roman" w:hAnsi="Times New Roman"/>
          <w:b/>
          <w:bCs/>
          <w:sz w:val="28"/>
          <w:szCs w:val="28"/>
          <w:lang w:eastAsia="bg-BG"/>
        </w:rPr>
        <w:t xml:space="preserve">Подмярка </w:t>
      </w:r>
      <w:r w:rsidR="00C62FE0" w:rsidRPr="00D00605">
        <w:rPr>
          <w:rFonts w:ascii="Times New Roman" w:hAnsi="Times New Roman"/>
          <w:b/>
          <w:bCs/>
          <w:sz w:val="28"/>
          <w:szCs w:val="28"/>
          <w:lang w:val="ru-RU" w:eastAsia="bg-BG"/>
        </w:rPr>
        <w:t xml:space="preserve">7.2  </w:t>
      </w:r>
      <w:r w:rsidR="00C62FE0" w:rsidRPr="00D00605">
        <w:rPr>
          <w:rFonts w:ascii="Times New Roman" w:hAnsi="Times New Roman"/>
          <w:b/>
          <w:bCs/>
          <w:sz w:val="28"/>
          <w:szCs w:val="28"/>
          <w:lang w:eastAsia="bg-BG"/>
        </w:rPr>
        <w:t>“Подкрепа за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w:t>
      </w:r>
      <w:r w:rsidR="00A26CD9" w:rsidRPr="00D00605">
        <w:rPr>
          <w:rFonts w:ascii="Times New Roman" w:hAnsi="Times New Roman"/>
          <w:b/>
          <w:bCs/>
          <w:sz w:val="28"/>
          <w:szCs w:val="28"/>
          <w:lang w:eastAsia="bg-BG"/>
        </w:rPr>
        <w:t>очници и спестяване на енергия”</w:t>
      </w:r>
    </w:p>
    <w:p w14:paraId="32B139D4" w14:textId="77777777" w:rsidR="00510D25" w:rsidRPr="009D0B76" w:rsidRDefault="00510D25" w:rsidP="009D0B76">
      <w:pPr>
        <w:jc w:val="both"/>
        <w:rPr>
          <w:rFonts w:ascii="Times New Roman" w:hAnsi="Times New Roman"/>
          <w:b/>
          <w:bCs/>
          <w:sz w:val="24"/>
          <w:szCs w:val="24"/>
          <w:lang w:eastAsia="bg-BG"/>
        </w:rPr>
      </w:pPr>
    </w:p>
    <w:p w14:paraId="54043FD9" w14:textId="77777777" w:rsidR="00D00605" w:rsidRDefault="00D00605" w:rsidP="009D0B76">
      <w:pPr>
        <w:tabs>
          <w:tab w:val="left" w:pos="6660"/>
        </w:tabs>
        <w:spacing w:after="0" w:line="240" w:lineRule="auto"/>
        <w:ind w:right="-12"/>
        <w:jc w:val="both"/>
        <w:rPr>
          <w:rFonts w:ascii="Times New Roman" w:eastAsia="Times New Roman" w:hAnsi="Times New Roman"/>
          <w:sz w:val="24"/>
          <w:szCs w:val="24"/>
        </w:rPr>
      </w:pPr>
    </w:p>
    <w:p w14:paraId="42124CC3" w14:textId="77777777" w:rsidR="00D00605" w:rsidRDefault="00D00605" w:rsidP="009D0B76">
      <w:pPr>
        <w:tabs>
          <w:tab w:val="left" w:pos="6660"/>
        </w:tabs>
        <w:spacing w:after="0" w:line="240" w:lineRule="auto"/>
        <w:ind w:right="-12"/>
        <w:jc w:val="both"/>
        <w:rPr>
          <w:rFonts w:ascii="Times New Roman" w:eastAsia="Times New Roman" w:hAnsi="Times New Roman"/>
          <w:sz w:val="24"/>
          <w:szCs w:val="24"/>
        </w:rPr>
      </w:pPr>
    </w:p>
    <w:p w14:paraId="5317A204" w14:textId="77777777" w:rsidR="00D00605" w:rsidRDefault="00D00605" w:rsidP="009D0B76">
      <w:pPr>
        <w:tabs>
          <w:tab w:val="left" w:pos="6660"/>
        </w:tabs>
        <w:spacing w:after="0" w:line="240" w:lineRule="auto"/>
        <w:ind w:right="-12"/>
        <w:jc w:val="both"/>
        <w:rPr>
          <w:rFonts w:ascii="Times New Roman" w:eastAsia="Times New Roman" w:hAnsi="Times New Roman"/>
          <w:sz w:val="24"/>
          <w:szCs w:val="24"/>
        </w:rPr>
      </w:pPr>
    </w:p>
    <w:p w14:paraId="4CAF50BD" w14:textId="77777777" w:rsidR="00D00605" w:rsidRDefault="00D00605" w:rsidP="009D0B76">
      <w:pPr>
        <w:tabs>
          <w:tab w:val="left" w:pos="6660"/>
        </w:tabs>
        <w:spacing w:after="0" w:line="240" w:lineRule="auto"/>
        <w:ind w:right="-12"/>
        <w:jc w:val="both"/>
        <w:rPr>
          <w:rFonts w:ascii="Times New Roman" w:eastAsia="Times New Roman" w:hAnsi="Times New Roman"/>
          <w:sz w:val="24"/>
          <w:szCs w:val="24"/>
        </w:rPr>
      </w:pPr>
    </w:p>
    <w:p w14:paraId="7CB941F7" w14:textId="77777777" w:rsidR="00D00605" w:rsidRDefault="00D00605" w:rsidP="009D0B76">
      <w:pPr>
        <w:tabs>
          <w:tab w:val="left" w:pos="6660"/>
        </w:tabs>
        <w:spacing w:after="0" w:line="240" w:lineRule="auto"/>
        <w:ind w:right="-12"/>
        <w:jc w:val="both"/>
        <w:rPr>
          <w:rFonts w:ascii="Times New Roman" w:eastAsia="Times New Roman" w:hAnsi="Times New Roman"/>
          <w:sz w:val="24"/>
          <w:szCs w:val="24"/>
        </w:rPr>
      </w:pPr>
    </w:p>
    <w:p w14:paraId="6A24A2BB"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lastRenderedPageBreak/>
        <w:t>СЪДЪРЖАНИЕ:</w:t>
      </w:r>
    </w:p>
    <w:p w14:paraId="1A83BF78" w14:textId="77777777" w:rsidR="0003420F" w:rsidRPr="009D0B76" w:rsidRDefault="00A26CD9"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І. Условия за кан</w:t>
      </w:r>
      <w:r w:rsidR="0003420F" w:rsidRPr="009D0B76">
        <w:rPr>
          <w:rFonts w:ascii="Times New Roman" w:eastAsia="Times New Roman" w:hAnsi="Times New Roman"/>
          <w:sz w:val="24"/>
          <w:szCs w:val="24"/>
        </w:rPr>
        <w:t>дидастване..........................................</w:t>
      </w:r>
      <w:r w:rsidRPr="009D0B76">
        <w:rPr>
          <w:rFonts w:ascii="Times New Roman" w:eastAsia="Times New Roman" w:hAnsi="Times New Roman"/>
          <w:sz w:val="24"/>
          <w:szCs w:val="24"/>
        </w:rPr>
        <w:t>.......</w:t>
      </w:r>
      <w:r w:rsidR="0003420F" w:rsidRPr="009D0B76">
        <w:rPr>
          <w:rFonts w:ascii="Times New Roman" w:eastAsia="Times New Roman" w:hAnsi="Times New Roman"/>
          <w:sz w:val="24"/>
          <w:szCs w:val="24"/>
        </w:rPr>
        <w:t>.................</w:t>
      </w:r>
      <w:r w:rsidR="0066112A" w:rsidRPr="009D0B76">
        <w:rPr>
          <w:rFonts w:ascii="Times New Roman" w:eastAsia="Times New Roman" w:hAnsi="Times New Roman"/>
          <w:sz w:val="24"/>
          <w:szCs w:val="24"/>
        </w:rPr>
        <w:t>...............................6</w:t>
      </w:r>
    </w:p>
    <w:p w14:paraId="4B5528C6"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1. Наименование на програмата......................................................</w:t>
      </w:r>
      <w:r w:rsidR="00A26CD9" w:rsidRPr="009D0B76">
        <w:rPr>
          <w:rFonts w:ascii="Times New Roman" w:eastAsia="Times New Roman" w:hAnsi="Times New Roman"/>
          <w:sz w:val="24"/>
          <w:szCs w:val="24"/>
        </w:rPr>
        <w:t>.............</w:t>
      </w:r>
      <w:r w:rsidRPr="009D0B76">
        <w:rPr>
          <w:rFonts w:ascii="Times New Roman" w:eastAsia="Times New Roman" w:hAnsi="Times New Roman"/>
          <w:sz w:val="24"/>
          <w:szCs w:val="24"/>
        </w:rPr>
        <w:t>...</w:t>
      </w:r>
      <w:r w:rsidR="00440CCA" w:rsidRPr="009D0B76">
        <w:rPr>
          <w:rFonts w:ascii="Times New Roman" w:eastAsia="Times New Roman" w:hAnsi="Times New Roman"/>
          <w:sz w:val="24"/>
          <w:szCs w:val="24"/>
        </w:rPr>
        <w:t>.....................6</w:t>
      </w:r>
    </w:p>
    <w:p w14:paraId="1D0A0707"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2. Наименование на приоритетната ос.............................</w:t>
      </w:r>
      <w:r w:rsidR="00A26CD9" w:rsidRPr="009D0B76">
        <w:rPr>
          <w:rFonts w:ascii="Times New Roman" w:eastAsia="Times New Roman" w:hAnsi="Times New Roman"/>
          <w:sz w:val="24"/>
          <w:szCs w:val="24"/>
        </w:rPr>
        <w:t>.......</w:t>
      </w:r>
      <w:r w:rsidRPr="009D0B76">
        <w:rPr>
          <w:rFonts w:ascii="Times New Roman" w:eastAsia="Times New Roman" w:hAnsi="Times New Roman"/>
          <w:sz w:val="24"/>
          <w:szCs w:val="24"/>
        </w:rPr>
        <w:t>.............</w:t>
      </w:r>
      <w:r w:rsidR="00440CCA" w:rsidRPr="009D0B76">
        <w:rPr>
          <w:rFonts w:ascii="Times New Roman" w:eastAsia="Times New Roman" w:hAnsi="Times New Roman"/>
          <w:sz w:val="24"/>
          <w:szCs w:val="24"/>
        </w:rPr>
        <w:t>...............................6</w:t>
      </w:r>
    </w:p>
    <w:p w14:paraId="24BC5BE1"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3. Наименование на процедурата........</w:t>
      </w:r>
      <w:r w:rsidR="00A26CD9" w:rsidRPr="009D0B76">
        <w:rPr>
          <w:rFonts w:ascii="Times New Roman" w:eastAsia="Times New Roman" w:hAnsi="Times New Roman"/>
          <w:sz w:val="24"/>
          <w:szCs w:val="24"/>
        </w:rPr>
        <w:t>....</w:t>
      </w:r>
      <w:r w:rsidRPr="009D0B76">
        <w:rPr>
          <w:rFonts w:ascii="Times New Roman" w:eastAsia="Times New Roman" w:hAnsi="Times New Roman"/>
          <w:sz w:val="24"/>
          <w:szCs w:val="24"/>
        </w:rPr>
        <w:t>..........................................................................</w:t>
      </w:r>
      <w:r w:rsidR="00440CCA" w:rsidRPr="009D0B76">
        <w:rPr>
          <w:rFonts w:ascii="Times New Roman" w:eastAsia="Times New Roman" w:hAnsi="Times New Roman"/>
          <w:sz w:val="24"/>
          <w:szCs w:val="24"/>
        </w:rPr>
        <w:t>...6</w:t>
      </w:r>
    </w:p>
    <w:p w14:paraId="691D9363"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4. Измерения по кодове............................</w:t>
      </w:r>
      <w:r w:rsidR="00A26CD9" w:rsidRPr="009D0B76">
        <w:rPr>
          <w:rFonts w:ascii="Times New Roman" w:eastAsia="Times New Roman" w:hAnsi="Times New Roman"/>
          <w:sz w:val="24"/>
          <w:szCs w:val="24"/>
        </w:rPr>
        <w:t>.....</w:t>
      </w:r>
      <w:r w:rsidRPr="009D0B76">
        <w:rPr>
          <w:rFonts w:ascii="Times New Roman" w:eastAsia="Times New Roman" w:hAnsi="Times New Roman"/>
          <w:sz w:val="24"/>
          <w:szCs w:val="24"/>
        </w:rPr>
        <w:t>.........................................</w:t>
      </w:r>
      <w:r w:rsidR="00440CCA" w:rsidRPr="009D0B76">
        <w:rPr>
          <w:rFonts w:ascii="Times New Roman" w:eastAsia="Times New Roman" w:hAnsi="Times New Roman"/>
          <w:sz w:val="24"/>
          <w:szCs w:val="24"/>
        </w:rPr>
        <w:t>...............................6</w:t>
      </w:r>
    </w:p>
    <w:p w14:paraId="2EAC3633"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5.Териториален обхват..............................................................................................</w:t>
      </w:r>
      <w:r w:rsidR="00A26CD9" w:rsidRPr="009D0B76">
        <w:rPr>
          <w:rFonts w:ascii="Times New Roman" w:eastAsia="Times New Roman" w:hAnsi="Times New Roman"/>
          <w:sz w:val="24"/>
          <w:szCs w:val="24"/>
        </w:rPr>
        <w:t>.</w:t>
      </w:r>
      <w:r w:rsidRPr="009D0B76">
        <w:rPr>
          <w:rFonts w:ascii="Times New Roman" w:eastAsia="Times New Roman" w:hAnsi="Times New Roman"/>
          <w:sz w:val="24"/>
          <w:szCs w:val="24"/>
        </w:rPr>
        <w:t>......</w:t>
      </w:r>
      <w:r w:rsidR="00440CCA" w:rsidRPr="009D0B76">
        <w:rPr>
          <w:rFonts w:ascii="Times New Roman" w:eastAsia="Times New Roman" w:hAnsi="Times New Roman"/>
          <w:sz w:val="24"/>
          <w:szCs w:val="24"/>
        </w:rPr>
        <w:t>.....6</w:t>
      </w:r>
    </w:p>
    <w:p w14:paraId="1FA81853"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6. Цели на предоставяната безвъзмездна финансова помощ и очакв</w:t>
      </w:r>
      <w:r w:rsidR="00A26CD9" w:rsidRPr="009D0B76">
        <w:rPr>
          <w:rFonts w:ascii="Times New Roman" w:eastAsia="Times New Roman" w:hAnsi="Times New Roman"/>
          <w:sz w:val="24"/>
          <w:szCs w:val="24"/>
        </w:rPr>
        <w:t>ани резултати...</w:t>
      </w:r>
      <w:r w:rsidR="00440CCA" w:rsidRPr="009D0B76">
        <w:rPr>
          <w:rFonts w:ascii="Times New Roman" w:eastAsia="Times New Roman" w:hAnsi="Times New Roman"/>
          <w:sz w:val="24"/>
          <w:szCs w:val="24"/>
        </w:rPr>
        <w:t>....6</w:t>
      </w:r>
    </w:p>
    <w:p w14:paraId="0EB9DACF"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7. Инди</w:t>
      </w:r>
      <w:r w:rsidR="00A26CD9" w:rsidRPr="009D0B76">
        <w:rPr>
          <w:rFonts w:ascii="Times New Roman" w:eastAsia="Times New Roman" w:hAnsi="Times New Roman"/>
          <w:sz w:val="24"/>
          <w:szCs w:val="24"/>
        </w:rPr>
        <w:t>катори ………......</w:t>
      </w:r>
      <w:r w:rsidRPr="009D0B76">
        <w:rPr>
          <w:rFonts w:ascii="Times New Roman" w:eastAsia="Times New Roman" w:hAnsi="Times New Roman"/>
          <w:sz w:val="24"/>
          <w:szCs w:val="24"/>
        </w:rPr>
        <w:t>.......................................................................</w:t>
      </w:r>
      <w:r w:rsidR="00440CCA" w:rsidRPr="009D0B76">
        <w:rPr>
          <w:rFonts w:ascii="Times New Roman" w:eastAsia="Times New Roman" w:hAnsi="Times New Roman"/>
          <w:sz w:val="24"/>
          <w:szCs w:val="24"/>
        </w:rPr>
        <w:t>...............................8</w:t>
      </w:r>
    </w:p>
    <w:p w14:paraId="0B0BE296"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8. Общ размер на безвъзмездната финансова помощ по процедурата.............</w:t>
      </w:r>
      <w:r w:rsidR="00A26CD9" w:rsidRPr="009D0B76">
        <w:rPr>
          <w:rFonts w:ascii="Times New Roman" w:eastAsia="Times New Roman" w:hAnsi="Times New Roman"/>
          <w:sz w:val="24"/>
          <w:szCs w:val="24"/>
        </w:rPr>
        <w:t>...............</w:t>
      </w:r>
      <w:r w:rsidR="00440CCA" w:rsidRPr="009D0B76">
        <w:rPr>
          <w:rFonts w:ascii="Times New Roman" w:eastAsia="Times New Roman" w:hAnsi="Times New Roman"/>
          <w:sz w:val="24"/>
          <w:szCs w:val="24"/>
        </w:rPr>
        <w:t>10</w:t>
      </w:r>
    </w:p>
    <w:p w14:paraId="62004E7C"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9. Минимален и максимален размер на безвъзмездната финансова помощ за конкретен проект............</w:t>
      </w:r>
      <w:r w:rsidR="00A26CD9" w:rsidRPr="009D0B76">
        <w:rPr>
          <w:rFonts w:ascii="Times New Roman" w:eastAsia="Times New Roman" w:hAnsi="Times New Roman"/>
          <w:sz w:val="24"/>
          <w:szCs w:val="24"/>
        </w:rPr>
        <w:t>.......................................................................................................................</w:t>
      </w:r>
      <w:r w:rsidR="00440CCA" w:rsidRPr="009D0B76">
        <w:rPr>
          <w:rFonts w:ascii="Times New Roman" w:eastAsia="Times New Roman" w:hAnsi="Times New Roman"/>
          <w:sz w:val="24"/>
          <w:szCs w:val="24"/>
        </w:rPr>
        <w:t>..10</w:t>
      </w:r>
    </w:p>
    <w:p w14:paraId="40CFDB84"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10. Процент на съфинансиране.........</w:t>
      </w:r>
      <w:r w:rsidR="00A26CD9" w:rsidRPr="009D0B76">
        <w:rPr>
          <w:rFonts w:ascii="Times New Roman" w:eastAsia="Times New Roman" w:hAnsi="Times New Roman"/>
          <w:sz w:val="24"/>
          <w:szCs w:val="24"/>
        </w:rPr>
        <w:t>.......</w:t>
      </w:r>
      <w:r w:rsidRPr="009D0B76">
        <w:rPr>
          <w:rFonts w:ascii="Times New Roman" w:eastAsia="Times New Roman" w:hAnsi="Times New Roman"/>
          <w:sz w:val="24"/>
          <w:szCs w:val="24"/>
        </w:rPr>
        <w:t>.............................................</w:t>
      </w:r>
      <w:r w:rsidR="00322097" w:rsidRPr="009D0B76">
        <w:rPr>
          <w:rFonts w:ascii="Times New Roman" w:eastAsia="Times New Roman" w:hAnsi="Times New Roman"/>
          <w:sz w:val="24"/>
          <w:szCs w:val="24"/>
        </w:rPr>
        <w:t>...............................11</w:t>
      </w:r>
    </w:p>
    <w:p w14:paraId="01252316"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11. Доп</w:t>
      </w:r>
      <w:r w:rsidR="00A26CD9" w:rsidRPr="009D0B76">
        <w:rPr>
          <w:rFonts w:ascii="Times New Roman" w:eastAsia="Times New Roman" w:hAnsi="Times New Roman"/>
          <w:sz w:val="24"/>
          <w:szCs w:val="24"/>
        </w:rPr>
        <w:t xml:space="preserve">устими </w:t>
      </w:r>
      <w:r w:rsidR="00A754F4" w:rsidRPr="009D0B76">
        <w:rPr>
          <w:rFonts w:ascii="Times New Roman" w:eastAsia="Times New Roman" w:hAnsi="Times New Roman"/>
          <w:sz w:val="24"/>
          <w:szCs w:val="24"/>
        </w:rPr>
        <w:t xml:space="preserve">и недопустими </w:t>
      </w:r>
      <w:r w:rsidR="00A26CD9" w:rsidRPr="009D0B76">
        <w:rPr>
          <w:rFonts w:ascii="Times New Roman" w:eastAsia="Times New Roman" w:hAnsi="Times New Roman"/>
          <w:sz w:val="24"/>
          <w:szCs w:val="24"/>
        </w:rPr>
        <w:t>кандидати..................</w:t>
      </w:r>
      <w:r w:rsidRPr="009D0B76">
        <w:rPr>
          <w:rFonts w:ascii="Times New Roman" w:eastAsia="Times New Roman" w:hAnsi="Times New Roman"/>
          <w:sz w:val="24"/>
          <w:szCs w:val="24"/>
        </w:rPr>
        <w:t>........</w:t>
      </w:r>
      <w:r w:rsidR="00A754F4" w:rsidRPr="009D0B76">
        <w:rPr>
          <w:rFonts w:ascii="Times New Roman" w:eastAsia="Times New Roman" w:hAnsi="Times New Roman"/>
          <w:sz w:val="24"/>
          <w:szCs w:val="24"/>
        </w:rPr>
        <w:t>...........</w:t>
      </w:r>
      <w:r w:rsidRPr="009D0B76">
        <w:rPr>
          <w:rFonts w:ascii="Times New Roman" w:eastAsia="Times New Roman" w:hAnsi="Times New Roman"/>
          <w:sz w:val="24"/>
          <w:szCs w:val="24"/>
        </w:rPr>
        <w:t>...........................</w:t>
      </w:r>
      <w:r w:rsidR="00E32F80">
        <w:rPr>
          <w:rFonts w:ascii="Times New Roman" w:eastAsia="Times New Roman" w:hAnsi="Times New Roman"/>
          <w:sz w:val="24"/>
          <w:szCs w:val="24"/>
        </w:rPr>
        <w:t>..........12</w:t>
      </w:r>
    </w:p>
    <w:p w14:paraId="08BFA517"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12. Допустими партньори...............................</w:t>
      </w:r>
      <w:r w:rsidR="00A26CD9" w:rsidRPr="009D0B76">
        <w:rPr>
          <w:rFonts w:ascii="Times New Roman" w:eastAsia="Times New Roman" w:hAnsi="Times New Roman"/>
          <w:sz w:val="24"/>
          <w:szCs w:val="24"/>
        </w:rPr>
        <w:t>.........</w:t>
      </w:r>
      <w:r w:rsidRPr="009D0B76">
        <w:rPr>
          <w:rFonts w:ascii="Times New Roman" w:eastAsia="Times New Roman" w:hAnsi="Times New Roman"/>
          <w:sz w:val="24"/>
          <w:szCs w:val="24"/>
        </w:rPr>
        <w:t>..............................</w:t>
      </w:r>
      <w:r w:rsidR="00322097" w:rsidRPr="009D0B76">
        <w:rPr>
          <w:rFonts w:ascii="Times New Roman" w:eastAsia="Times New Roman" w:hAnsi="Times New Roman"/>
          <w:sz w:val="24"/>
          <w:szCs w:val="24"/>
        </w:rPr>
        <w:t>.............................</w:t>
      </w:r>
      <w:r w:rsidR="00E32F80">
        <w:rPr>
          <w:rFonts w:ascii="Times New Roman" w:eastAsia="Times New Roman" w:hAnsi="Times New Roman"/>
          <w:sz w:val="24"/>
          <w:szCs w:val="24"/>
        </w:rPr>
        <w:t>..16</w:t>
      </w:r>
    </w:p>
    <w:p w14:paraId="3B2D0945"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 xml:space="preserve">13. Дейности, </w:t>
      </w:r>
      <w:r w:rsidR="00A26CD9" w:rsidRPr="009D0B76">
        <w:rPr>
          <w:rFonts w:ascii="Times New Roman" w:eastAsia="Times New Roman" w:hAnsi="Times New Roman"/>
          <w:sz w:val="24"/>
          <w:szCs w:val="24"/>
        </w:rPr>
        <w:t>допустими за финансиране..........</w:t>
      </w:r>
      <w:r w:rsidRPr="009D0B76">
        <w:rPr>
          <w:rFonts w:ascii="Times New Roman" w:eastAsia="Times New Roman" w:hAnsi="Times New Roman"/>
          <w:sz w:val="24"/>
          <w:szCs w:val="24"/>
        </w:rPr>
        <w:t>.................................</w:t>
      </w:r>
      <w:r w:rsidR="00322097" w:rsidRPr="009D0B76">
        <w:rPr>
          <w:rFonts w:ascii="Times New Roman" w:eastAsia="Times New Roman" w:hAnsi="Times New Roman"/>
          <w:sz w:val="24"/>
          <w:szCs w:val="24"/>
        </w:rPr>
        <w:t>.</w:t>
      </w:r>
      <w:r w:rsidR="00E32F80">
        <w:rPr>
          <w:rFonts w:ascii="Times New Roman" w:eastAsia="Times New Roman" w:hAnsi="Times New Roman"/>
          <w:sz w:val="24"/>
          <w:szCs w:val="24"/>
        </w:rPr>
        <w:t>..............................16</w:t>
      </w:r>
    </w:p>
    <w:p w14:paraId="49C97DF6"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14. Категории разходи, допустими за финанс</w:t>
      </w:r>
      <w:r w:rsidR="00A26CD9" w:rsidRPr="009D0B76">
        <w:rPr>
          <w:rFonts w:ascii="Times New Roman" w:eastAsia="Times New Roman" w:hAnsi="Times New Roman"/>
          <w:sz w:val="24"/>
          <w:szCs w:val="24"/>
        </w:rPr>
        <w:t>иране..................</w:t>
      </w:r>
      <w:r w:rsidRPr="009D0B76">
        <w:rPr>
          <w:rFonts w:ascii="Times New Roman" w:eastAsia="Times New Roman" w:hAnsi="Times New Roman"/>
          <w:sz w:val="24"/>
          <w:szCs w:val="24"/>
        </w:rPr>
        <w:t>.........</w:t>
      </w:r>
      <w:r w:rsidR="00322097" w:rsidRPr="009D0B76">
        <w:rPr>
          <w:rFonts w:ascii="Times New Roman" w:eastAsia="Times New Roman" w:hAnsi="Times New Roman"/>
          <w:sz w:val="24"/>
          <w:szCs w:val="24"/>
        </w:rPr>
        <w:t>.</w:t>
      </w:r>
      <w:r w:rsidR="00E32F80">
        <w:rPr>
          <w:rFonts w:ascii="Times New Roman" w:eastAsia="Times New Roman" w:hAnsi="Times New Roman"/>
          <w:sz w:val="24"/>
          <w:szCs w:val="24"/>
        </w:rPr>
        <w:t>..............................17</w:t>
      </w:r>
    </w:p>
    <w:p w14:paraId="51F21916"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15. Допустими</w:t>
      </w:r>
      <w:r w:rsidR="00A26CD9" w:rsidRPr="009D0B76">
        <w:rPr>
          <w:rFonts w:ascii="Times New Roman" w:eastAsia="Times New Roman" w:hAnsi="Times New Roman"/>
          <w:sz w:val="24"/>
          <w:szCs w:val="24"/>
        </w:rPr>
        <w:t xml:space="preserve"> целеви групи....................</w:t>
      </w:r>
      <w:r w:rsidRPr="009D0B76">
        <w:rPr>
          <w:rFonts w:ascii="Times New Roman" w:eastAsia="Times New Roman" w:hAnsi="Times New Roman"/>
          <w:sz w:val="24"/>
          <w:szCs w:val="24"/>
        </w:rPr>
        <w:t>..........................................................................</w:t>
      </w:r>
      <w:r w:rsidR="00A26CD9" w:rsidRPr="009D0B76">
        <w:rPr>
          <w:rFonts w:ascii="Times New Roman" w:eastAsia="Times New Roman" w:hAnsi="Times New Roman"/>
          <w:sz w:val="24"/>
          <w:szCs w:val="24"/>
        </w:rPr>
        <w:t>.</w:t>
      </w:r>
      <w:r w:rsidR="00E32F80">
        <w:rPr>
          <w:rFonts w:ascii="Times New Roman" w:eastAsia="Times New Roman" w:hAnsi="Times New Roman"/>
          <w:sz w:val="24"/>
          <w:szCs w:val="24"/>
        </w:rPr>
        <w:t>.19</w:t>
      </w:r>
    </w:p>
    <w:p w14:paraId="4FB94F36"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16. Приложим режим на минимални/държавни помощи.</w:t>
      </w:r>
      <w:r w:rsidR="00A26CD9" w:rsidRPr="009D0B76">
        <w:rPr>
          <w:rFonts w:ascii="Times New Roman" w:eastAsia="Times New Roman" w:hAnsi="Times New Roman"/>
          <w:sz w:val="24"/>
          <w:szCs w:val="24"/>
        </w:rPr>
        <w:t>.................................</w:t>
      </w:r>
      <w:r w:rsidRPr="009D0B76">
        <w:rPr>
          <w:rFonts w:ascii="Times New Roman" w:eastAsia="Times New Roman" w:hAnsi="Times New Roman"/>
          <w:sz w:val="24"/>
          <w:szCs w:val="24"/>
        </w:rPr>
        <w:t>...............</w:t>
      </w:r>
      <w:r w:rsidR="00A26CD9" w:rsidRPr="009D0B76">
        <w:rPr>
          <w:rFonts w:ascii="Times New Roman" w:eastAsia="Times New Roman" w:hAnsi="Times New Roman"/>
          <w:sz w:val="24"/>
          <w:szCs w:val="24"/>
        </w:rPr>
        <w:t>.</w:t>
      </w:r>
      <w:r w:rsidR="00E32F80">
        <w:rPr>
          <w:rFonts w:ascii="Times New Roman" w:eastAsia="Times New Roman" w:hAnsi="Times New Roman"/>
          <w:sz w:val="24"/>
          <w:szCs w:val="24"/>
        </w:rPr>
        <w:t>19</w:t>
      </w:r>
    </w:p>
    <w:p w14:paraId="1320ABE1"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17. Хоризонтални политики...........</w:t>
      </w:r>
      <w:r w:rsidR="00A26CD9" w:rsidRPr="009D0B76">
        <w:rPr>
          <w:rFonts w:ascii="Times New Roman" w:eastAsia="Times New Roman" w:hAnsi="Times New Roman"/>
          <w:sz w:val="24"/>
          <w:szCs w:val="24"/>
        </w:rPr>
        <w:t>.................................</w:t>
      </w:r>
      <w:r w:rsidRPr="009D0B76">
        <w:rPr>
          <w:rFonts w:ascii="Times New Roman" w:eastAsia="Times New Roman" w:hAnsi="Times New Roman"/>
          <w:sz w:val="24"/>
          <w:szCs w:val="24"/>
        </w:rPr>
        <w:t>..................................................</w:t>
      </w:r>
      <w:r w:rsidR="00A26CD9" w:rsidRPr="009D0B76">
        <w:rPr>
          <w:rFonts w:ascii="Times New Roman" w:eastAsia="Times New Roman" w:hAnsi="Times New Roman"/>
          <w:sz w:val="24"/>
          <w:szCs w:val="24"/>
        </w:rPr>
        <w:t>..</w:t>
      </w:r>
      <w:r w:rsidR="00E32F80">
        <w:rPr>
          <w:rFonts w:ascii="Times New Roman" w:eastAsia="Times New Roman" w:hAnsi="Times New Roman"/>
          <w:sz w:val="24"/>
          <w:szCs w:val="24"/>
        </w:rPr>
        <w:t>.25</w:t>
      </w:r>
    </w:p>
    <w:p w14:paraId="676E815F"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18. Минимален и максимален срок за и</w:t>
      </w:r>
      <w:r w:rsidR="00A26CD9" w:rsidRPr="009D0B76">
        <w:rPr>
          <w:rFonts w:ascii="Times New Roman" w:eastAsia="Times New Roman" w:hAnsi="Times New Roman"/>
          <w:sz w:val="24"/>
          <w:szCs w:val="24"/>
        </w:rPr>
        <w:t>зпълнение на проекта.............</w:t>
      </w:r>
      <w:r w:rsidRPr="009D0B76">
        <w:rPr>
          <w:rFonts w:ascii="Times New Roman" w:eastAsia="Times New Roman" w:hAnsi="Times New Roman"/>
          <w:sz w:val="24"/>
          <w:szCs w:val="24"/>
        </w:rPr>
        <w:t>.........................</w:t>
      </w:r>
      <w:r w:rsidR="00A26CD9" w:rsidRPr="009D0B76">
        <w:rPr>
          <w:rFonts w:ascii="Times New Roman" w:eastAsia="Times New Roman" w:hAnsi="Times New Roman"/>
          <w:sz w:val="24"/>
          <w:szCs w:val="24"/>
        </w:rPr>
        <w:t>..</w:t>
      </w:r>
      <w:r w:rsidR="00E32F80">
        <w:rPr>
          <w:rFonts w:ascii="Times New Roman" w:eastAsia="Times New Roman" w:hAnsi="Times New Roman"/>
          <w:sz w:val="24"/>
          <w:szCs w:val="24"/>
        </w:rPr>
        <w:t>.26</w:t>
      </w:r>
    </w:p>
    <w:p w14:paraId="156600EA"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 xml:space="preserve">19. Ред за оценяване на концепциите </w:t>
      </w:r>
      <w:r w:rsidR="00A26CD9" w:rsidRPr="009D0B76">
        <w:rPr>
          <w:rFonts w:ascii="Times New Roman" w:eastAsia="Times New Roman" w:hAnsi="Times New Roman"/>
          <w:sz w:val="24"/>
          <w:szCs w:val="24"/>
        </w:rPr>
        <w:t>за проектни предложения..........</w:t>
      </w:r>
      <w:r w:rsidRPr="009D0B76">
        <w:rPr>
          <w:rFonts w:ascii="Times New Roman" w:eastAsia="Times New Roman" w:hAnsi="Times New Roman"/>
          <w:sz w:val="24"/>
          <w:szCs w:val="24"/>
        </w:rPr>
        <w:t>........................</w:t>
      </w:r>
      <w:r w:rsidR="00A26CD9" w:rsidRPr="009D0B76">
        <w:rPr>
          <w:rFonts w:ascii="Times New Roman" w:eastAsia="Times New Roman" w:hAnsi="Times New Roman"/>
          <w:sz w:val="24"/>
          <w:szCs w:val="24"/>
        </w:rPr>
        <w:t>..</w:t>
      </w:r>
      <w:r w:rsidR="00E32F80">
        <w:rPr>
          <w:rFonts w:ascii="Times New Roman" w:eastAsia="Times New Roman" w:hAnsi="Times New Roman"/>
          <w:sz w:val="24"/>
          <w:szCs w:val="24"/>
        </w:rPr>
        <w:t>.26</w:t>
      </w:r>
    </w:p>
    <w:p w14:paraId="053DDDF7"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20. Критерии и методика за оценка на концепциите за проектни предлож</w:t>
      </w:r>
      <w:r w:rsidR="00A26CD9" w:rsidRPr="009D0B76">
        <w:rPr>
          <w:rFonts w:ascii="Times New Roman" w:eastAsia="Times New Roman" w:hAnsi="Times New Roman"/>
          <w:sz w:val="24"/>
          <w:szCs w:val="24"/>
        </w:rPr>
        <w:t>ени</w:t>
      </w:r>
      <w:r w:rsidRPr="009D0B76">
        <w:rPr>
          <w:rFonts w:ascii="Times New Roman" w:eastAsia="Times New Roman" w:hAnsi="Times New Roman"/>
          <w:sz w:val="24"/>
          <w:szCs w:val="24"/>
        </w:rPr>
        <w:t>...........</w:t>
      </w:r>
      <w:r w:rsidR="00A26CD9" w:rsidRPr="009D0B76">
        <w:rPr>
          <w:rFonts w:ascii="Times New Roman" w:eastAsia="Times New Roman" w:hAnsi="Times New Roman"/>
          <w:sz w:val="24"/>
          <w:szCs w:val="24"/>
        </w:rPr>
        <w:t>..</w:t>
      </w:r>
      <w:r w:rsidR="00E32F80">
        <w:rPr>
          <w:rFonts w:ascii="Times New Roman" w:eastAsia="Times New Roman" w:hAnsi="Times New Roman"/>
          <w:sz w:val="24"/>
          <w:szCs w:val="24"/>
        </w:rPr>
        <w:t>.26</w:t>
      </w:r>
    </w:p>
    <w:p w14:paraId="3178EEC0"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21. Ред за оценяване на проектните предложения......................................</w:t>
      </w:r>
      <w:r w:rsidR="00A26CD9" w:rsidRPr="009D0B76">
        <w:rPr>
          <w:rFonts w:ascii="Times New Roman" w:eastAsia="Times New Roman" w:hAnsi="Times New Roman"/>
          <w:sz w:val="24"/>
          <w:szCs w:val="24"/>
        </w:rPr>
        <w:t>.</w:t>
      </w:r>
      <w:r w:rsidRPr="009D0B76">
        <w:rPr>
          <w:rFonts w:ascii="Times New Roman" w:eastAsia="Times New Roman" w:hAnsi="Times New Roman"/>
          <w:sz w:val="24"/>
          <w:szCs w:val="24"/>
        </w:rPr>
        <w:t>...................</w:t>
      </w:r>
      <w:r w:rsidR="00A26CD9" w:rsidRPr="009D0B76">
        <w:rPr>
          <w:rFonts w:ascii="Times New Roman" w:eastAsia="Times New Roman" w:hAnsi="Times New Roman"/>
          <w:sz w:val="24"/>
          <w:szCs w:val="24"/>
        </w:rPr>
        <w:t>..</w:t>
      </w:r>
      <w:r w:rsidR="00E32F80">
        <w:rPr>
          <w:rFonts w:ascii="Times New Roman" w:eastAsia="Times New Roman" w:hAnsi="Times New Roman"/>
          <w:sz w:val="24"/>
          <w:szCs w:val="24"/>
        </w:rPr>
        <w:t>.27</w:t>
      </w:r>
    </w:p>
    <w:p w14:paraId="076C0110"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22. Критерии и методика за оценка на проектните предложения..</w:t>
      </w:r>
      <w:r w:rsidR="00A26CD9" w:rsidRPr="009D0B76">
        <w:rPr>
          <w:rFonts w:ascii="Times New Roman" w:eastAsia="Times New Roman" w:hAnsi="Times New Roman"/>
          <w:sz w:val="24"/>
          <w:szCs w:val="24"/>
        </w:rPr>
        <w:t>...</w:t>
      </w:r>
      <w:r w:rsidR="00322097" w:rsidRPr="009D0B76">
        <w:rPr>
          <w:rFonts w:ascii="Times New Roman" w:eastAsia="Times New Roman" w:hAnsi="Times New Roman"/>
          <w:sz w:val="24"/>
          <w:szCs w:val="24"/>
        </w:rPr>
        <w:t>.</w:t>
      </w:r>
      <w:r w:rsidR="00E32F80">
        <w:rPr>
          <w:rFonts w:ascii="Times New Roman" w:eastAsia="Times New Roman" w:hAnsi="Times New Roman"/>
          <w:sz w:val="24"/>
          <w:szCs w:val="24"/>
        </w:rPr>
        <w:t>..............................31</w:t>
      </w:r>
    </w:p>
    <w:p w14:paraId="557176F6"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23. Начин на подаване на проектните предложения/ концепциите за про</w:t>
      </w:r>
      <w:r w:rsidR="00A26CD9" w:rsidRPr="009D0B76">
        <w:rPr>
          <w:rFonts w:ascii="Times New Roman" w:eastAsia="Times New Roman" w:hAnsi="Times New Roman"/>
          <w:sz w:val="24"/>
          <w:szCs w:val="24"/>
        </w:rPr>
        <w:t>ектни предложения.........................................................................................................................</w:t>
      </w:r>
      <w:r w:rsidR="00E32F80">
        <w:rPr>
          <w:rFonts w:ascii="Times New Roman" w:eastAsia="Times New Roman" w:hAnsi="Times New Roman"/>
          <w:sz w:val="24"/>
          <w:szCs w:val="24"/>
        </w:rPr>
        <w:t>.33</w:t>
      </w:r>
    </w:p>
    <w:p w14:paraId="7CEDA563"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24. Списък на документите, които се подават н</w:t>
      </w:r>
      <w:r w:rsidR="00A26CD9" w:rsidRPr="009D0B76">
        <w:rPr>
          <w:rFonts w:ascii="Times New Roman" w:eastAsia="Times New Roman" w:hAnsi="Times New Roman"/>
          <w:sz w:val="24"/>
          <w:szCs w:val="24"/>
        </w:rPr>
        <w:t>а етап кандидатстване..............</w:t>
      </w:r>
      <w:r w:rsidR="00E32F80">
        <w:rPr>
          <w:rFonts w:ascii="Times New Roman" w:eastAsia="Times New Roman" w:hAnsi="Times New Roman"/>
          <w:sz w:val="24"/>
          <w:szCs w:val="24"/>
        </w:rPr>
        <w:t>.............35</w:t>
      </w:r>
    </w:p>
    <w:p w14:paraId="43EEC7FE"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 xml:space="preserve">25. Начален и краен срок за подаване на документите за кандидатстване за подбор на проектни предложения към стратегията за ВОМР за територията на МИГ </w:t>
      </w:r>
      <w:r w:rsidR="009C6406" w:rsidRPr="009D0B76">
        <w:rPr>
          <w:rFonts w:ascii="Times New Roman" w:eastAsia="Times New Roman" w:hAnsi="Times New Roman"/>
          <w:sz w:val="24"/>
          <w:szCs w:val="24"/>
        </w:rPr>
        <w:t>–</w:t>
      </w:r>
      <w:r w:rsidRPr="009D0B76">
        <w:rPr>
          <w:rFonts w:ascii="Times New Roman" w:eastAsia="Times New Roman" w:hAnsi="Times New Roman"/>
          <w:sz w:val="24"/>
          <w:szCs w:val="24"/>
        </w:rPr>
        <w:t xml:space="preserve"> </w:t>
      </w:r>
      <w:r w:rsidR="009C6406" w:rsidRPr="009D0B76">
        <w:rPr>
          <w:rFonts w:ascii="Times New Roman" w:eastAsia="Times New Roman" w:hAnsi="Times New Roman"/>
          <w:sz w:val="24"/>
          <w:szCs w:val="24"/>
        </w:rPr>
        <w:t>Костинброд- Своге</w:t>
      </w:r>
      <w:r w:rsidRPr="009D0B76">
        <w:rPr>
          <w:rFonts w:ascii="Times New Roman" w:eastAsia="Times New Roman" w:hAnsi="Times New Roman"/>
          <w:sz w:val="24"/>
          <w:szCs w:val="24"/>
        </w:rPr>
        <w:t>......................................</w:t>
      </w:r>
      <w:r w:rsidR="00A26CD9" w:rsidRPr="009D0B76">
        <w:rPr>
          <w:rFonts w:ascii="Times New Roman" w:eastAsia="Times New Roman" w:hAnsi="Times New Roman"/>
          <w:sz w:val="24"/>
          <w:szCs w:val="24"/>
        </w:rPr>
        <w:t>................................................................</w:t>
      </w:r>
      <w:r w:rsidR="00322097" w:rsidRPr="009D0B76">
        <w:rPr>
          <w:rFonts w:ascii="Times New Roman" w:eastAsia="Times New Roman" w:hAnsi="Times New Roman"/>
          <w:sz w:val="24"/>
          <w:szCs w:val="24"/>
        </w:rPr>
        <w:t>..........</w:t>
      </w:r>
      <w:r w:rsidR="00E32F80">
        <w:rPr>
          <w:rFonts w:ascii="Times New Roman" w:eastAsia="Times New Roman" w:hAnsi="Times New Roman"/>
          <w:sz w:val="24"/>
          <w:szCs w:val="24"/>
          <w:lang w:val="en-US"/>
        </w:rPr>
        <w:t>.......................</w:t>
      </w:r>
      <w:r w:rsidR="00E32F80">
        <w:rPr>
          <w:rFonts w:ascii="Times New Roman" w:eastAsia="Times New Roman" w:hAnsi="Times New Roman"/>
          <w:sz w:val="24"/>
          <w:szCs w:val="24"/>
        </w:rPr>
        <w:t>39</w:t>
      </w:r>
    </w:p>
    <w:p w14:paraId="3A7B2D05"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26. Адрес за подаване на документите за кандидатстване за подбор на стратегии за ВОМР............</w:t>
      </w:r>
      <w:r w:rsidR="00A26CD9" w:rsidRPr="009D0B76">
        <w:rPr>
          <w:rFonts w:ascii="Times New Roman" w:eastAsia="Times New Roman" w:hAnsi="Times New Roman"/>
          <w:sz w:val="24"/>
          <w:szCs w:val="24"/>
        </w:rPr>
        <w:t>.................................................................................................................</w:t>
      </w:r>
      <w:r w:rsidR="00322097" w:rsidRPr="009D0B76">
        <w:rPr>
          <w:rFonts w:ascii="Times New Roman" w:eastAsia="Times New Roman" w:hAnsi="Times New Roman"/>
          <w:sz w:val="24"/>
          <w:szCs w:val="24"/>
        </w:rPr>
        <w:t>.......</w:t>
      </w:r>
      <w:r w:rsidR="000C66F4" w:rsidRPr="009D0B76">
        <w:rPr>
          <w:rFonts w:ascii="Times New Roman" w:eastAsia="Times New Roman" w:hAnsi="Times New Roman"/>
          <w:sz w:val="24"/>
          <w:szCs w:val="24"/>
        </w:rPr>
        <w:t>.</w:t>
      </w:r>
      <w:r w:rsidR="00E32F80">
        <w:rPr>
          <w:rFonts w:ascii="Times New Roman" w:eastAsia="Times New Roman" w:hAnsi="Times New Roman"/>
          <w:sz w:val="24"/>
          <w:szCs w:val="24"/>
        </w:rPr>
        <w:t>39</w:t>
      </w:r>
    </w:p>
    <w:p w14:paraId="227AF92D" w14:textId="77777777" w:rsidR="0003420F" w:rsidRPr="009D0B76" w:rsidRDefault="0003420F" w:rsidP="009D0B76">
      <w:pPr>
        <w:tabs>
          <w:tab w:val="left" w:pos="6660"/>
        </w:tabs>
        <w:spacing w:after="0" w:line="240" w:lineRule="auto"/>
        <w:ind w:right="-12"/>
        <w:jc w:val="both"/>
        <w:rPr>
          <w:rFonts w:ascii="Times New Roman" w:eastAsia="Times New Roman" w:hAnsi="Times New Roman"/>
          <w:sz w:val="24"/>
          <w:szCs w:val="24"/>
        </w:rPr>
      </w:pPr>
      <w:r w:rsidRPr="009D0B76">
        <w:rPr>
          <w:rFonts w:ascii="Times New Roman" w:eastAsia="Times New Roman" w:hAnsi="Times New Roman"/>
          <w:sz w:val="24"/>
          <w:szCs w:val="24"/>
        </w:rPr>
        <w:t>27. Допълнителна информация....................</w:t>
      </w:r>
      <w:r w:rsidR="00A26CD9" w:rsidRPr="009D0B76">
        <w:rPr>
          <w:rFonts w:ascii="Times New Roman" w:eastAsia="Times New Roman" w:hAnsi="Times New Roman"/>
          <w:sz w:val="24"/>
          <w:szCs w:val="24"/>
        </w:rPr>
        <w:t>..........................</w:t>
      </w:r>
      <w:r w:rsidRPr="009D0B76">
        <w:rPr>
          <w:rFonts w:ascii="Times New Roman" w:eastAsia="Times New Roman" w:hAnsi="Times New Roman"/>
          <w:sz w:val="24"/>
          <w:szCs w:val="24"/>
        </w:rPr>
        <w:t>...........................................</w:t>
      </w:r>
      <w:r w:rsidR="000C66F4" w:rsidRPr="009D0B76">
        <w:rPr>
          <w:rFonts w:ascii="Times New Roman" w:eastAsia="Times New Roman" w:hAnsi="Times New Roman"/>
          <w:sz w:val="24"/>
          <w:szCs w:val="24"/>
        </w:rPr>
        <w:t>.</w:t>
      </w:r>
      <w:r w:rsidR="00A26CD9" w:rsidRPr="009D0B76">
        <w:rPr>
          <w:rFonts w:ascii="Times New Roman" w:eastAsia="Times New Roman" w:hAnsi="Times New Roman"/>
          <w:sz w:val="24"/>
          <w:szCs w:val="24"/>
        </w:rPr>
        <w:t xml:space="preserve"> </w:t>
      </w:r>
      <w:r w:rsidR="00E32F80">
        <w:rPr>
          <w:rFonts w:ascii="Times New Roman" w:eastAsia="Times New Roman" w:hAnsi="Times New Roman"/>
          <w:sz w:val="24"/>
          <w:szCs w:val="24"/>
        </w:rPr>
        <w:t>40</w:t>
      </w:r>
    </w:p>
    <w:p w14:paraId="62B5FD73" w14:textId="77777777" w:rsidR="00510D25" w:rsidRPr="009D0B76" w:rsidRDefault="00510D25" w:rsidP="009D0B76">
      <w:pPr>
        <w:tabs>
          <w:tab w:val="left" w:pos="6660"/>
        </w:tabs>
        <w:spacing w:after="0" w:line="240" w:lineRule="auto"/>
        <w:ind w:right="-12"/>
        <w:jc w:val="both"/>
        <w:rPr>
          <w:rFonts w:ascii="Times New Roman" w:eastAsia="Times New Roman" w:hAnsi="Times New Roman"/>
          <w:sz w:val="24"/>
          <w:szCs w:val="24"/>
        </w:rPr>
      </w:pPr>
    </w:p>
    <w:p w14:paraId="7AC91744" w14:textId="77777777" w:rsidR="009A15AB" w:rsidRPr="009D0B76" w:rsidRDefault="00510D25" w:rsidP="009D0B76">
      <w:pPr>
        <w:tabs>
          <w:tab w:val="left" w:pos="8292"/>
        </w:tabs>
        <w:jc w:val="both"/>
        <w:rPr>
          <w:rFonts w:ascii="Times New Roman" w:hAnsi="Times New Roman"/>
          <w:sz w:val="24"/>
          <w:szCs w:val="24"/>
          <w:lang w:val="en-US"/>
        </w:rPr>
      </w:pPr>
      <w:r w:rsidRPr="009D0B76">
        <w:rPr>
          <w:rFonts w:ascii="Times New Roman" w:hAnsi="Times New Roman"/>
          <w:sz w:val="24"/>
          <w:szCs w:val="24"/>
        </w:rPr>
        <w:tab/>
      </w:r>
    </w:p>
    <w:p w14:paraId="0F8E7A86" w14:textId="77777777" w:rsidR="004C58D8" w:rsidRPr="009D0B76" w:rsidRDefault="004C58D8" w:rsidP="009D0B76">
      <w:pPr>
        <w:tabs>
          <w:tab w:val="left" w:pos="8292"/>
        </w:tabs>
        <w:jc w:val="both"/>
        <w:rPr>
          <w:rFonts w:ascii="Times New Roman" w:hAnsi="Times New Roman"/>
          <w:sz w:val="24"/>
          <w:szCs w:val="24"/>
          <w:lang w:val="en-US"/>
        </w:rPr>
      </w:pPr>
      <w:r w:rsidRPr="009D0B76">
        <w:rPr>
          <w:rFonts w:ascii="Times New Roman" w:eastAsiaTheme="minorHAnsi" w:hAnsi="Times New Roman"/>
          <w:b/>
          <w:sz w:val="24"/>
          <w:szCs w:val="24"/>
        </w:rPr>
        <w:lastRenderedPageBreak/>
        <w:t>ОБЯСНИТЕЛНИ БЕЛЕЖКИ</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CCFFFF"/>
        <w:tblLayout w:type="fixed"/>
        <w:tblCellMar>
          <w:left w:w="70" w:type="dxa"/>
          <w:right w:w="70" w:type="dxa"/>
        </w:tblCellMar>
        <w:tblLook w:val="0000" w:firstRow="0" w:lastRow="0" w:firstColumn="0" w:lastColumn="0" w:noHBand="0" w:noVBand="0"/>
      </w:tblPr>
      <w:tblGrid>
        <w:gridCol w:w="3130"/>
        <w:gridCol w:w="6296"/>
      </w:tblGrid>
      <w:tr w:rsidR="004C58D8" w:rsidRPr="009D0B76" w14:paraId="2298F1FB" w14:textId="77777777" w:rsidTr="003E7EE4">
        <w:tc>
          <w:tcPr>
            <w:tcW w:w="3130" w:type="dxa"/>
            <w:shd w:val="clear" w:color="auto" w:fill="auto"/>
          </w:tcPr>
          <w:p w14:paraId="67FF3308"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Кандидати за безвъзмездна финансова помощ</w:t>
            </w:r>
          </w:p>
        </w:tc>
        <w:tc>
          <w:tcPr>
            <w:tcW w:w="6296" w:type="dxa"/>
            <w:shd w:val="clear" w:color="auto" w:fill="auto"/>
          </w:tcPr>
          <w:p w14:paraId="44559744"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Кандидати за безвъзмездна финансова помощ са всички физически и юридически лица и техни обединения, които кандидатстват за безвъзмездна финансова помощ чрез подаване на проектно предложение. </w:t>
            </w:r>
          </w:p>
        </w:tc>
      </w:tr>
      <w:tr w:rsidR="004C58D8" w:rsidRPr="009D0B76" w14:paraId="4F8B50F9" w14:textId="77777777" w:rsidTr="003E7EE4">
        <w:tc>
          <w:tcPr>
            <w:tcW w:w="3130" w:type="dxa"/>
            <w:shd w:val="clear" w:color="auto" w:fill="auto"/>
          </w:tcPr>
          <w:p w14:paraId="608801B3"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Бенефициент (Бенефициер) на безвъзмездна финансова помощ</w:t>
            </w:r>
          </w:p>
        </w:tc>
        <w:tc>
          <w:tcPr>
            <w:tcW w:w="6296" w:type="dxa"/>
            <w:shd w:val="clear" w:color="auto" w:fill="auto"/>
          </w:tcPr>
          <w:p w14:paraId="5CB60FDC"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Лицата, посочени в чл.2, ал. 10 от Регламент (ЕО) No 1303/2013 - публична или частна организация, които отговарят за започването или за започването и изпълнението на операции; и в контекста на схемите за държавни помощи, съгласно чл. 107, параграф 1 от ДФЕС – организация, която получава помощта; </w:t>
            </w:r>
          </w:p>
        </w:tc>
      </w:tr>
      <w:tr w:rsidR="004C58D8" w:rsidRPr="009D0B76" w14:paraId="1BEDFC76" w14:textId="77777777" w:rsidTr="003E7EE4">
        <w:tc>
          <w:tcPr>
            <w:tcW w:w="3130" w:type="dxa"/>
            <w:shd w:val="clear" w:color="auto" w:fill="auto"/>
          </w:tcPr>
          <w:p w14:paraId="2EAE496F"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Безвъзмездна финансова помощ</w:t>
            </w:r>
          </w:p>
        </w:tc>
        <w:tc>
          <w:tcPr>
            <w:tcW w:w="6296" w:type="dxa"/>
            <w:shd w:val="clear" w:color="auto" w:fill="auto"/>
          </w:tcPr>
          <w:p w14:paraId="6F43ED28"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Без това да противоречи на чл. 121 от Регламент (EO, Евроатом) No 966/2012, са средства, предоставени от ПРСР, включително съответното национално съфинансиране, с цел изпълнението на одобрен проект, насочен към постигане на определени цели.</w:t>
            </w:r>
          </w:p>
        </w:tc>
      </w:tr>
      <w:tr w:rsidR="004C58D8" w:rsidRPr="009D0B76" w14:paraId="0216F25C" w14:textId="77777777" w:rsidTr="003E7EE4">
        <w:tc>
          <w:tcPr>
            <w:tcW w:w="3130" w:type="dxa"/>
            <w:shd w:val="clear" w:color="auto" w:fill="auto"/>
          </w:tcPr>
          <w:p w14:paraId="13FB081F"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 xml:space="preserve">Проектно предложение </w:t>
            </w:r>
          </w:p>
        </w:tc>
        <w:tc>
          <w:tcPr>
            <w:tcW w:w="6296" w:type="dxa"/>
            <w:shd w:val="clear" w:color="auto" w:fill="auto"/>
          </w:tcPr>
          <w:p w14:paraId="20734B28"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Предложение за предоставяне на безвъзмездна финансова помощ за изпълнението на определен проект, включващо формуляр за кандидатстване и други придружителни документи.</w:t>
            </w:r>
          </w:p>
        </w:tc>
      </w:tr>
      <w:tr w:rsidR="004C58D8" w:rsidRPr="009D0B76" w14:paraId="44ED3B4B" w14:textId="77777777" w:rsidTr="003E7EE4">
        <w:tc>
          <w:tcPr>
            <w:tcW w:w="3130" w:type="dxa"/>
            <w:shd w:val="clear" w:color="auto" w:fill="auto"/>
          </w:tcPr>
          <w:p w14:paraId="455C6912"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 xml:space="preserve">Административен договор </w:t>
            </w:r>
          </w:p>
        </w:tc>
        <w:tc>
          <w:tcPr>
            <w:tcW w:w="6296" w:type="dxa"/>
            <w:shd w:val="clear" w:color="auto" w:fill="auto"/>
          </w:tcPr>
          <w:p w14:paraId="0537B37B" w14:textId="77777777" w:rsidR="004C58D8" w:rsidRPr="009D0B76" w:rsidRDefault="00CA01E9"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Договор по смисъла на параграф 1, т.1 от допълнителните разпоредби на Закона за управление на средствата от европейските структурни и инвестиционни фондове, който съдържа изрично волеизявление на изпълнителният директор на РА за предоставяне на безвъзмездна финансова помощ със средства по ПРСР 2014-2020 г.</w:t>
            </w:r>
          </w:p>
        </w:tc>
      </w:tr>
      <w:tr w:rsidR="004C58D8" w:rsidRPr="009D0B76" w14:paraId="6DE5E278" w14:textId="77777777" w:rsidTr="003E7EE4">
        <w:tc>
          <w:tcPr>
            <w:tcW w:w="3130" w:type="dxa"/>
            <w:shd w:val="clear" w:color="auto" w:fill="auto"/>
          </w:tcPr>
          <w:p w14:paraId="5C087C45"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Ръководител на управляващия орган</w:t>
            </w:r>
          </w:p>
        </w:tc>
        <w:tc>
          <w:tcPr>
            <w:tcW w:w="6296" w:type="dxa"/>
            <w:shd w:val="clear" w:color="auto" w:fill="auto"/>
          </w:tcPr>
          <w:p w14:paraId="4C943C9B"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Ръководителят на администрацията, изпълняваща функциите на управляващ орган на съответната програма или част от която е управляващият орган на съответната програма, или оправомощено от него лице.</w:t>
            </w:r>
          </w:p>
        </w:tc>
      </w:tr>
      <w:tr w:rsidR="004C58D8" w:rsidRPr="009D0B76" w14:paraId="005AE281" w14:textId="77777777" w:rsidTr="003E7EE4">
        <w:tc>
          <w:tcPr>
            <w:tcW w:w="3130" w:type="dxa"/>
            <w:shd w:val="clear" w:color="auto" w:fill="auto"/>
          </w:tcPr>
          <w:p w14:paraId="272DFF78"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lastRenderedPageBreak/>
              <w:t>Нередност</w:t>
            </w:r>
          </w:p>
        </w:tc>
        <w:tc>
          <w:tcPr>
            <w:tcW w:w="6296" w:type="dxa"/>
            <w:shd w:val="clear" w:color="auto" w:fill="auto"/>
          </w:tcPr>
          <w:p w14:paraId="2AAE6B66"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w:t>
            </w:r>
          </w:p>
        </w:tc>
      </w:tr>
      <w:tr w:rsidR="004C58D8" w:rsidRPr="009D0B76" w14:paraId="5746F680" w14:textId="77777777" w:rsidTr="003E7EE4">
        <w:tc>
          <w:tcPr>
            <w:tcW w:w="3130" w:type="dxa"/>
            <w:shd w:val="clear" w:color="auto" w:fill="auto"/>
          </w:tcPr>
          <w:p w14:paraId="39B0160D"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Държавна помощ</w:t>
            </w:r>
          </w:p>
        </w:tc>
        <w:tc>
          <w:tcPr>
            <w:tcW w:w="6296" w:type="dxa"/>
            <w:shd w:val="clear" w:color="auto" w:fill="auto"/>
          </w:tcPr>
          <w:p w14:paraId="334ACA7D"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tc>
      </w:tr>
      <w:tr w:rsidR="004C58D8" w:rsidRPr="009D0B76" w14:paraId="247EEDD3" w14:textId="77777777" w:rsidTr="003E7EE4">
        <w:tc>
          <w:tcPr>
            <w:tcW w:w="3130" w:type="dxa"/>
            <w:shd w:val="clear" w:color="auto" w:fill="auto"/>
          </w:tcPr>
          <w:p w14:paraId="586B6537"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Минимална помощ (de minimis)</w:t>
            </w:r>
          </w:p>
        </w:tc>
        <w:tc>
          <w:tcPr>
            <w:tcW w:w="6296" w:type="dxa"/>
            <w:shd w:val="clear" w:color="auto" w:fill="auto"/>
          </w:tcPr>
          <w:p w14:paraId="2B16CB38"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 107 и 108 от Договора за функционирането на ЕС по отношение на минималната помощ.</w:t>
            </w:r>
          </w:p>
        </w:tc>
      </w:tr>
      <w:tr w:rsidR="004C58D8" w:rsidRPr="009D0B76" w14:paraId="0015ABF5" w14:textId="77777777" w:rsidTr="003E7EE4">
        <w:tc>
          <w:tcPr>
            <w:tcW w:w="3130" w:type="dxa"/>
            <w:shd w:val="clear" w:color="auto" w:fill="auto"/>
          </w:tcPr>
          <w:p w14:paraId="34768042"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"Изкуствено създадени условия"</w:t>
            </w:r>
          </w:p>
        </w:tc>
        <w:tc>
          <w:tcPr>
            <w:tcW w:w="6296" w:type="dxa"/>
            <w:shd w:val="clear" w:color="auto" w:fill="auto"/>
          </w:tcPr>
          <w:p w14:paraId="41233E31"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Инвестиции, за които е установена функционална несамостоятелност и/или изкуствено създадени условия за получаване на помощта с цел осъществяване на предимство в противоречие с целите на мярката.</w:t>
            </w:r>
          </w:p>
        </w:tc>
      </w:tr>
      <w:tr w:rsidR="004C58D8" w:rsidRPr="009D0B76" w14:paraId="57BD1FCF" w14:textId="77777777" w:rsidTr="003E7EE4">
        <w:tc>
          <w:tcPr>
            <w:tcW w:w="3130" w:type="dxa"/>
            <w:shd w:val="clear" w:color="auto" w:fill="auto"/>
          </w:tcPr>
          <w:p w14:paraId="5A72746C"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"Функционална несамостоятелност“</w:t>
            </w:r>
          </w:p>
        </w:tc>
        <w:tc>
          <w:tcPr>
            <w:tcW w:w="6296" w:type="dxa"/>
            <w:shd w:val="clear" w:color="auto" w:fill="auto"/>
          </w:tcPr>
          <w:p w14:paraId="73E949B2"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Изкуствено разделяне на производствените и технологичните процеси в различни проекти с цел усвояване на средства над максималния размер на общо допустимите разходи по мярката.</w:t>
            </w:r>
          </w:p>
        </w:tc>
      </w:tr>
      <w:tr w:rsidR="00CA01E9" w:rsidRPr="009D0B76" w14:paraId="1F83F7DA" w14:textId="77777777" w:rsidTr="003E7EE4">
        <w:tc>
          <w:tcPr>
            <w:tcW w:w="3130" w:type="dxa"/>
            <w:shd w:val="clear" w:color="auto" w:fill="auto"/>
          </w:tcPr>
          <w:p w14:paraId="0D7A22A4" w14:textId="77777777" w:rsidR="00CA01E9" w:rsidRPr="009D0B76" w:rsidRDefault="00CA01E9"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„Мобилни обекти“</w:t>
            </w:r>
          </w:p>
        </w:tc>
        <w:tc>
          <w:tcPr>
            <w:tcW w:w="6296" w:type="dxa"/>
            <w:shd w:val="clear" w:color="auto" w:fill="auto"/>
          </w:tcPr>
          <w:p w14:paraId="218FAA46" w14:textId="77777777" w:rsidR="00CA01E9" w:rsidRPr="009D0B76" w:rsidRDefault="00CA01E9"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Моторни превозни средства, които не позволяват използването им за други цели освен изключително и само </w:t>
            </w:r>
            <w:r w:rsidRPr="009D0B76">
              <w:rPr>
                <w:rFonts w:ascii="Times New Roman" w:eastAsiaTheme="minorHAnsi" w:hAnsi="Times New Roman"/>
                <w:sz w:val="24"/>
                <w:szCs w:val="24"/>
              </w:rPr>
              <w:lastRenderedPageBreak/>
              <w:t>за осъществяване на дейности за предоставяне на услуги, свързани с културния живот.</w:t>
            </w:r>
          </w:p>
        </w:tc>
      </w:tr>
      <w:tr w:rsidR="00CA01E9" w:rsidRPr="009D0B76" w14:paraId="786AE783" w14:textId="77777777" w:rsidTr="003E7EE4">
        <w:tc>
          <w:tcPr>
            <w:tcW w:w="3130" w:type="dxa"/>
            <w:shd w:val="clear" w:color="auto" w:fill="auto"/>
          </w:tcPr>
          <w:p w14:paraId="24C8376B" w14:textId="77777777" w:rsidR="00CA01E9" w:rsidRPr="009D0B76" w:rsidRDefault="00CA01E9"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lastRenderedPageBreak/>
              <w:t>„Транспортни средства“</w:t>
            </w:r>
          </w:p>
        </w:tc>
        <w:tc>
          <w:tcPr>
            <w:tcW w:w="6296" w:type="dxa"/>
            <w:shd w:val="clear" w:color="auto" w:fill="auto"/>
          </w:tcPr>
          <w:p w14:paraId="3002D9D1" w14:textId="77777777" w:rsidR="00CA01E9" w:rsidRPr="009D0B76" w:rsidRDefault="00CA01E9"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Моторни превозни средства, които не позволяват използването им за други цели освен изключително и само за осъществяване на дейности за предоставяне на социални услуги и оборудвани за целите на инвестицията.</w:t>
            </w:r>
          </w:p>
        </w:tc>
      </w:tr>
      <w:tr w:rsidR="00CA01E9" w:rsidRPr="009D0B76" w14:paraId="42F6AAF8" w14:textId="77777777" w:rsidTr="003E7EE4">
        <w:tc>
          <w:tcPr>
            <w:tcW w:w="3130" w:type="dxa"/>
            <w:shd w:val="clear" w:color="auto" w:fill="auto"/>
          </w:tcPr>
          <w:p w14:paraId="38407C75" w14:textId="77777777" w:rsidR="00CA01E9" w:rsidRPr="009D0B76" w:rsidRDefault="00CA01E9"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„Техническа инфраструктура“</w:t>
            </w:r>
          </w:p>
        </w:tc>
        <w:tc>
          <w:tcPr>
            <w:tcW w:w="6296" w:type="dxa"/>
            <w:shd w:val="clear" w:color="auto" w:fill="auto"/>
          </w:tcPr>
          <w:p w14:paraId="1CF375B0" w14:textId="77777777" w:rsidR="00CA01E9" w:rsidRPr="009D0B76" w:rsidRDefault="00CA01E9"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Система от сгради, съоръжения и линейни инженерни мрежи на транспорта, водоснабдяването и канализацията, електроснабдяването, топлоснабдяването, газоснабдяването, електронните съобщения, хидромелиорациите, третирането на отпадъците и геоза</w:t>
            </w:r>
            <w:r w:rsidR="00D77316" w:rsidRPr="009D0B76">
              <w:rPr>
                <w:rFonts w:ascii="Times New Roman" w:eastAsiaTheme="minorHAnsi" w:hAnsi="Times New Roman"/>
                <w:sz w:val="24"/>
                <w:szCs w:val="24"/>
              </w:rPr>
              <w:t>щитната дейносст (съгласно определението в параграф 5, т.31 от ЗУТ)</w:t>
            </w:r>
          </w:p>
        </w:tc>
      </w:tr>
    </w:tbl>
    <w:p w14:paraId="0C09B142"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4C58D8" w:rsidRPr="009D0B76" w14:paraId="7EB75960" w14:textId="77777777" w:rsidTr="003E7EE4">
        <w:tc>
          <w:tcPr>
            <w:tcW w:w="3189" w:type="dxa"/>
            <w:shd w:val="clear" w:color="auto" w:fill="auto"/>
            <w:vAlign w:val="center"/>
          </w:tcPr>
          <w:p w14:paraId="6AE1D730"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БФП</w:t>
            </w:r>
          </w:p>
        </w:tc>
        <w:tc>
          <w:tcPr>
            <w:tcW w:w="6237" w:type="dxa"/>
            <w:shd w:val="clear" w:color="auto" w:fill="auto"/>
            <w:vAlign w:val="center"/>
          </w:tcPr>
          <w:p w14:paraId="75093EB3"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Безвъзмездна финансова помощ</w:t>
            </w:r>
          </w:p>
        </w:tc>
      </w:tr>
      <w:tr w:rsidR="004C58D8" w:rsidRPr="009D0B76" w14:paraId="51FAFBEB" w14:textId="77777777" w:rsidTr="003E7EE4">
        <w:trPr>
          <w:trHeight w:val="702"/>
        </w:trPr>
        <w:tc>
          <w:tcPr>
            <w:tcW w:w="3189" w:type="dxa"/>
            <w:shd w:val="clear" w:color="auto" w:fill="auto"/>
            <w:vAlign w:val="center"/>
          </w:tcPr>
          <w:p w14:paraId="5AECBDEC"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СВОМР</w:t>
            </w:r>
          </w:p>
        </w:tc>
        <w:tc>
          <w:tcPr>
            <w:tcW w:w="6237" w:type="dxa"/>
            <w:shd w:val="clear" w:color="auto" w:fill="auto"/>
            <w:vAlign w:val="center"/>
          </w:tcPr>
          <w:p w14:paraId="473EDEED"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Стратегия за изпълнение на водено от общностите местно развитие</w:t>
            </w:r>
          </w:p>
        </w:tc>
      </w:tr>
      <w:tr w:rsidR="004C58D8" w:rsidRPr="009D0B76" w14:paraId="29124998" w14:textId="77777777" w:rsidTr="003E7EE4">
        <w:trPr>
          <w:trHeight w:val="425"/>
        </w:trPr>
        <w:tc>
          <w:tcPr>
            <w:tcW w:w="3189" w:type="dxa"/>
            <w:shd w:val="clear" w:color="auto" w:fill="auto"/>
            <w:vAlign w:val="center"/>
          </w:tcPr>
          <w:p w14:paraId="249F4DB3"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ЕС</w:t>
            </w:r>
          </w:p>
        </w:tc>
        <w:tc>
          <w:tcPr>
            <w:tcW w:w="6237" w:type="dxa"/>
            <w:shd w:val="clear" w:color="auto" w:fill="auto"/>
            <w:vAlign w:val="center"/>
          </w:tcPr>
          <w:p w14:paraId="0E749204"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Европейски съюз</w:t>
            </w:r>
          </w:p>
        </w:tc>
      </w:tr>
      <w:tr w:rsidR="004C58D8" w:rsidRPr="009D0B76" w14:paraId="7A8D1A27" w14:textId="77777777" w:rsidTr="003E7EE4">
        <w:trPr>
          <w:trHeight w:val="575"/>
        </w:trPr>
        <w:tc>
          <w:tcPr>
            <w:tcW w:w="3189" w:type="dxa"/>
            <w:shd w:val="clear" w:color="auto" w:fill="auto"/>
            <w:vAlign w:val="center"/>
          </w:tcPr>
          <w:p w14:paraId="3D9E1127"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ЗУСЕСИФ</w:t>
            </w:r>
          </w:p>
        </w:tc>
        <w:tc>
          <w:tcPr>
            <w:tcW w:w="6237" w:type="dxa"/>
            <w:shd w:val="clear" w:color="auto" w:fill="auto"/>
            <w:vAlign w:val="center"/>
          </w:tcPr>
          <w:p w14:paraId="7404E333"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Закон за управление на средствата от Eвропейските структурни и инвестиционни фондове, обн., ДВ, бр. 101 от 22.12.2015 г</w:t>
            </w:r>
          </w:p>
        </w:tc>
      </w:tr>
      <w:tr w:rsidR="004C58D8" w:rsidRPr="009D0B76" w14:paraId="2F06FDA6" w14:textId="77777777" w:rsidTr="003E7EE4">
        <w:tc>
          <w:tcPr>
            <w:tcW w:w="3189" w:type="dxa"/>
            <w:shd w:val="clear" w:color="auto" w:fill="auto"/>
            <w:vAlign w:val="center"/>
          </w:tcPr>
          <w:p w14:paraId="12314979"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ИСУН 2020</w:t>
            </w:r>
          </w:p>
        </w:tc>
        <w:tc>
          <w:tcPr>
            <w:tcW w:w="6237" w:type="dxa"/>
            <w:shd w:val="clear" w:color="auto" w:fill="auto"/>
            <w:vAlign w:val="center"/>
          </w:tcPr>
          <w:p w14:paraId="07DC71D0"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Информационната система за управление и наблюдение на Структурните инструменти на ЕС в България </w:t>
            </w:r>
          </w:p>
        </w:tc>
      </w:tr>
      <w:tr w:rsidR="004C58D8" w:rsidRPr="009D0B76" w14:paraId="35034772" w14:textId="77777777" w:rsidTr="003E7EE4">
        <w:tc>
          <w:tcPr>
            <w:tcW w:w="3189" w:type="dxa"/>
            <w:shd w:val="clear" w:color="auto" w:fill="auto"/>
            <w:vAlign w:val="center"/>
          </w:tcPr>
          <w:p w14:paraId="3A3D8EEA"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КЕП</w:t>
            </w:r>
          </w:p>
        </w:tc>
        <w:tc>
          <w:tcPr>
            <w:tcW w:w="6237" w:type="dxa"/>
            <w:shd w:val="clear" w:color="auto" w:fill="auto"/>
            <w:vAlign w:val="center"/>
          </w:tcPr>
          <w:p w14:paraId="66A07707"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Квалифициран електронен подпис</w:t>
            </w:r>
          </w:p>
        </w:tc>
      </w:tr>
      <w:tr w:rsidR="004C58D8" w:rsidRPr="009D0B76" w14:paraId="78869984" w14:textId="77777777" w:rsidTr="003E7EE4">
        <w:tc>
          <w:tcPr>
            <w:tcW w:w="3189" w:type="dxa"/>
            <w:shd w:val="clear" w:color="auto" w:fill="auto"/>
            <w:vAlign w:val="center"/>
          </w:tcPr>
          <w:p w14:paraId="59D8BC93"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ПРСР</w:t>
            </w:r>
          </w:p>
        </w:tc>
        <w:tc>
          <w:tcPr>
            <w:tcW w:w="6237" w:type="dxa"/>
            <w:shd w:val="clear" w:color="auto" w:fill="auto"/>
            <w:vAlign w:val="center"/>
          </w:tcPr>
          <w:p w14:paraId="6AC73D46"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Програма за развитие на селските райони</w:t>
            </w:r>
          </w:p>
        </w:tc>
      </w:tr>
      <w:tr w:rsidR="004C58D8" w:rsidRPr="009D0B76" w14:paraId="115B1927" w14:textId="77777777" w:rsidTr="003E7EE4">
        <w:tc>
          <w:tcPr>
            <w:tcW w:w="3189" w:type="dxa"/>
            <w:shd w:val="clear" w:color="auto" w:fill="auto"/>
            <w:vAlign w:val="center"/>
          </w:tcPr>
          <w:p w14:paraId="5EBC5D27"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ПМС</w:t>
            </w:r>
          </w:p>
        </w:tc>
        <w:tc>
          <w:tcPr>
            <w:tcW w:w="6237" w:type="dxa"/>
            <w:shd w:val="clear" w:color="auto" w:fill="auto"/>
            <w:vAlign w:val="center"/>
          </w:tcPr>
          <w:p w14:paraId="7B4E9946"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Постановление на Министерски съвет</w:t>
            </w:r>
          </w:p>
        </w:tc>
      </w:tr>
      <w:tr w:rsidR="004C58D8" w:rsidRPr="009D0B76" w14:paraId="42853E56" w14:textId="77777777" w:rsidTr="003E7EE4">
        <w:tc>
          <w:tcPr>
            <w:tcW w:w="3189" w:type="dxa"/>
            <w:shd w:val="clear" w:color="auto" w:fill="auto"/>
            <w:vAlign w:val="center"/>
          </w:tcPr>
          <w:p w14:paraId="6EE0B76B"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ДФЗ</w:t>
            </w:r>
          </w:p>
        </w:tc>
        <w:tc>
          <w:tcPr>
            <w:tcW w:w="6237" w:type="dxa"/>
            <w:shd w:val="clear" w:color="auto" w:fill="auto"/>
            <w:vAlign w:val="center"/>
          </w:tcPr>
          <w:p w14:paraId="3DE9844C"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Държавен фонд “Земеделие”</w:t>
            </w:r>
          </w:p>
        </w:tc>
      </w:tr>
      <w:tr w:rsidR="004C58D8" w:rsidRPr="009D0B76" w14:paraId="0E77EDBA" w14:textId="77777777" w:rsidTr="003E7EE4">
        <w:tc>
          <w:tcPr>
            <w:tcW w:w="3189" w:type="dxa"/>
            <w:shd w:val="clear" w:color="auto" w:fill="auto"/>
            <w:vAlign w:val="center"/>
          </w:tcPr>
          <w:p w14:paraId="0CB54435" w14:textId="77777777" w:rsidR="004C58D8" w:rsidRPr="009D0B76" w:rsidRDefault="004C58D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УО</w:t>
            </w:r>
          </w:p>
        </w:tc>
        <w:tc>
          <w:tcPr>
            <w:tcW w:w="6237" w:type="dxa"/>
            <w:shd w:val="clear" w:color="auto" w:fill="auto"/>
            <w:vAlign w:val="center"/>
          </w:tcPr>
          <w:p w14:paraId="21066C5D" w14:textId="77777777" w:rsidR="004C58D8" w:rsidRPr="009D0B76" w:rsidRDefault="004C58D8"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Управляващ орган</w:t>
            </w:r>
          </w:p>
        </w:tc>
      </w:tr>
    </w:tbl>
    <w:p w14:paraId="29E7A60E" w14:textId="77777777" w:rsidR="004C58D8" w:rsidRPr="009D0B76" w:rsidRDefault="004C58D8" w:rsidP="009D0B76">
      <w:pPr>
        <w:spacing w:after="0" w:line="276" w:lineRule="auto"/>
        <w:jc w:val="both"/>
        <w:rPr>
          <w:rFonts w:ascii="Times New Roman" w:eastAsiaTheme="minorHAnsi" w:hAnsi="Times New Roman"/>
          <w:b/>
          <w:sz w:val="24"/>
          <w:szCs w:val="24"/>
        </w:rPr>
      </w:pPr>
    </w:p>
    <w:p w14:paraId="36DA2461" w14:textId="77777777" w:rsidR="004C58D8" w:rsidRPr="009D0B76" w:rsidRDefault="004C58D8" w:rsidP="009D0B76">
      <w:pPr>
        <w:spacing w:after="0" w:line="276" w:lineRule="auto"/>
        <w:jc w:val="both"/>
        <w:rPr>
          <w:rFonts w:ascii="Times New Roman" w:eastAsiaTheme="minorHAnsi" w:hAnsi="Times New Roman"/>
          <w:b/>
          <w:sz w:val="24"/>
          <w:szCs w:val="24"/>
        </w:rPr>
      </w:pPr>
    </w:p>
    <w:p w14:paraId="69B2670A" w14:textId="77777777" w:rsidR="004C58D8" w:rsidRPr="009D0B76" w:rsidRDefault="004C58D8" w:rsidP="009D0B76">
      <w:pPr>
        <w:spacing w:after="0" w:line="276" w:lineRule="auto"/>
        <w:jc w:val="both"/>
        <w:rPr>
          <w:rFonts w:ascii="Times New Roman" w:eastAsiaTheme="minorHAnsi" w:hAnsi="Times New Roman"/>
          <w:b/>
          <w:sz w:val="24"/>
          <w:szCs w:val="24"/>
        </w:rPr>
      </w:pPr>
    </w:p>
    <w:p w14:paraId="7C27E79C" w14:textId="77777777" w:rsidR="004C58D8" w:rsidRPr="009D0B76" w:rsidRDefault="004C58D8" w:rsidP="009D0B76">
      <w:pPr>
        <w:spacing w:after="0" w:line="276" w:lineRule="auto"/>
        <w:jc w:val="both"/>
        <w:rPr>
          <w:rFonts w:ascii="Times New Roman" w:eastAsiaTheme="minorHAnsi" w:hAnsi="Times New Roman"/>
          <w:b/>
          <w:sz w:val="24"/>
          <w:szCs w:val="24"/>
        </w:rPr>
      </w:pPr>
    </w:p>
    <w:p w14:paraId="21ED4AFA" w14:textId="77777777" w:rsidR="004C58D8" w:rsidRPr="009D0B76" w:rsidRDefault="004C58D8" w:rsidP="009D0B76">
      <w:pPr>
        <w:spacing w:after="0" w:line="276" w:lineRule="auto"/>
        <w:jc w:val="both"/>
        <w:rPr>
          <w:rFonts w:ascii="Times New Roman" w:eastAsiaTheme="minorHAnsi" w:hAnsi="Times New Roman"/>
          <w:b/>
          <w:sz w:val="24"/>
          <w:szCs w:val="24"/>
        </w:rPr>
      </w:pPr>
    </w:p>
    <w:p w14:paraId="276223AD" w14:textId="77777777" w:rsidR="004C58D8" w:rsidRPr="009D0B76" w:rsidRDefault="004C58D8" w:rsidP="009D0B76">
      <w:pPr>
        <w:spacing w:after="0" w:line="276" w:lineRule="auto"/>
        <w:jc w:val="both"/>
        <w:rPr>
          <w:rFonts w:ascii="Times New Roman" w:eastAsiaTheme="minorHAnsi" w:hAnsi="Times New Roman"/>
          <w:b/>
          <w:sz w:val="24"/>
          <w:szCs w:val="24"/>
        </w:rPr>
      </w:pPr>
    </w:p>
    <w:p w14:paraId="7AFF68EE" w14:textId="77777777" w:rsidR="004C58D8" w:rsidRPr="009D0B76" w:rsidRDefault="004C58D8" w:rsidP="009D0B76">
      <w:pPr>
        <w:spacing w:after="0" w:line="276" w:lineRule="auto"/>
        <w:jc w:val="both"/>
        <w:rPr>
          <w:rFonts w:ascii="Times New Roman" w:eastAsiaTheme="minorHAnsi" w:hAnsi="Times New Roman"/>
          <w:b/>
          <w:color w:val="5B9BD5" w:themeColor="accent1"/>
          <w:sz w:val="24"/>
          <w:szCs w:val="24"/>
        </w:rPr>
      </w:pPr>
      <w:bookmarkStart w:id="0" w:name="_Toc476823132"/>
      <w:r w:rsidRPr="009D0B76">
        <w:rPr>
          <w:rFonts w:ascii="Times New Roman" w:eastAsiaTheme="minorHAnsi" w:hAnsi="Times New Roman"/>
          <w:b/>
          <w:color w:val="5B9BD5" w:themeColor="accent1"/>
          <w:sz w:val="24"/>
          <w:szCs w:val="24"/>
        </w:rPr>
        <w:t>1. Наименование на програмата:</w:t>
      </w:r>
      <w:bookmarkEnd w:id="0"/>
    </w:p>
    <w:p w14:paraId="33695E6F" w14:textId="77777777" w:rsidR="00510D25" w:rsidRPr="009D0B76" w:rsidRDefault="004C58D8" w:rsidP="009D0B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Програма за развитие на селските райони  2014-2020 (ПРСР) чрез Водено от общностите местно развитие</w:t>
      </w:r>
    </w:p>
    <w:p w14:paraId="6C58986C" w14:textId="77777777" w:rsidR="006C634D" w:rsidRPr="009D0B76" w:rsidRDefault="006C634D" w:rsidP="009D0B76">
      <w:pPr>
        <w:spacing w:after="0" w:line="276" w:lineRule="auto"/>
        <w:jc w:val="both"/>
        <w:rPr>
          <w:rFonts w:ascii="Times New Roman" w:eastAsiaTheme="minorHAnsi" w:hAnsi="Times New Roman"/>
          <w:b/>
          <w:color w:val="5B9BD5" w:themeColor="accent1"/>
          <w:sz w:val="24"/>
          <w:szCs w:val="24"/>
        </w:rPr>
      </w:pPr>
      <w:bookmarkStart w:id="1" w:name="_Toc476823133"/>
    </w:p>
    <w:p w14:paraId="1DDC47BF" w14:textId="77777777" w:rsidR="00C22084" w:rsidRPr="009D0B76" w:rsidRDefault="00C22084" w:rsidP="009D0B76">
      <w:pPr>
        <w:spacing w:after="0" w:line="276" w:lineRule="auto"/>
        <w:jc w:val="both"/>
        <w:rPr>
          <w:rFonts w:ascii="Times New Roman" w:eastAsiaTheme="minorHAnsi" w:hAnsi="Times New Roman"/>
          <w:b/>
          <w:color w:val="5B9BD5" w:themeColor="accent1"/>
          <w:sz w:val="24"/>
          <w:szCs w:val="24"/>
        </w:rPr>
      </w:pPr>
      <w:r w:rsidRPr="009D0B76">
        <w:rPr>
          <w:rFonts w:ascii="Times New Roman" w:eastAsiaTheme="minorHAnsi" w:hAnsi="Times New Roman"/>
          <w:b/>
          <w:color w:val="5B9BD5" w:themeColor="accent1"/>
          <w:sz w:val="24"/>
          <w:szCs w:val="24"/>
        </w:rPr>
        <w:t>2. Наименование на приоритетната ос:</w:t>
      </w:r>
      <w:bookmarkEnd w:id="1"/>
    </w:p>
    <w:p w14:paraId="26B91C11" w14:textId="77777777" w:rsidR="00A43F5A" w:rsidRPr="009D0B76" w:rsidRDefault="00A43F5A" w:rsidP="009D0B7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heme="minorHAnsi" w:hAnsi="Times New Roman"/>
          <w:sz w:val="24"/>
          <w:szCs w:val="24"/>
        </w:rPr>
      </w:pPr>
      <w:bookmarkStart w:id="2" w:name="_Toc476823134"/>
      <w:r w:rsidRPr="009D0B76">
        <w:rPr>
          <w:rFonts w:ascii="Times New Roman" w:eastAsiaTheme="minorHAnsi" w:hAnsi="Times New Roman"/>
          <w:sz w:val="24"/>
          <w:szCs w:val="24"/>
        </w:rPr>
        <w:t xml:space="preserve">Мярка 19  „Водено от общностите местно развитие“ </w:t>
      </w:r>
    </w:p>
    <w:p w14:paraId="26767C10" w14:textId="77777777" w:rsidR="00A43F5A" w:rsidRPr="009D0B76" w:rsidRDefault="00A43F5A" w:rsidP="009D0B7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Подмярка 19.2 „Прилагане на стратегии за Водено от общностите местно развитие“</w:t>
      </w:r>
    </w:p>
    <w:p w14:paraId="2A823B05" w14:textId="77777777" w:rsidR="00A864A4" w:rsidRPr="009D0B76" w:rsidRDefault="00A43F5A" w:rsidP="009D0B7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от Програмата за развитие на селските райони  за периода 2014 – 2020 г.</w:t>
      </w:r>
    </w:p>
    <w:p w14:paraId="611EF40C" w14:textId="77777777" w:rsidR="006C634D" w:rsidRPr="009D0B76" w:rsidRDefault="006C634D" w:rsidP="009D0B76">
      <w:pPr>
        <w:spacing w:after="0" w:line="276" w:lineRule="auto"/>
        <w:jc w:val="both"/>
        <w:rPr>
          <w:rFonts w:ascii="Times New Roman" w:eastAsiaTheme="minorHAnsi" w:hAnsi="Times New Roman"/>
          <w:b/>
          <w:color w:val="5B9BD5" w:themeColor="accent1"/>
          <w:sz w:val="24"/>
          <w:szCs w:val="24"/>
        </w:rPr>
      </w:pPr>
    </w:p>
    <w:p w14:paraId="7B856A44" w14:textId="77777777" w:rsidR="00C22084" w:rsidRPr="009D0B76" w:rsidRDefault="00C22084" w:rsidP="009D0B76">
      <w:pPr>
        <w:spacing w:after="0" w:line="276" w:lineRule="auto"/>
        <w:jc w:val="both"/>
        <w:rPr>
          <w:rFonts w:ascii="Times New Roman" w:eastAsiaTheme="minorHAnsi" w:hAnsi="Times New Roman"/>
          <w:b/>
          <w:color w:val="5B9BD5" w:themeColor="accent1"/>
          <w:sz w:val="24"/>
          <w:szCs w:val="24"/>
        </w:rPr>
      </w:pPr>
      <w:r w:rsidRPr="009D0B76">
        <w:rPr>
          <w:rFonts w:ascii="Times New Roman" w:eastAsiaTheme="minorHAnsi" w:hAnsi="Times New Roman"/>
          <w:b/>
          <w:color w:val="5B9BD5" w:themeColor="accent1"/>
          <w:sz w:val="24"/>
          <w:szCs w:val="24"/>
        </w:rPr>
        <w:t>3. Наименование на процедурата:</w:t>
      </w:r>
      <w:bookmarkEnd w:id="2"/>
    </w:p>
    <w:p w14:paraId="484AA0D9" w14:textId="02A514EA" w:rsidR="00C22084" w:rsidRPr="009D0B76" w:rsidRDefault="00774AF7" w:rsidP="009D0B7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МИГ Костинброд-Своге №</w:t>
      </w:r>
      <w:r w:rsidR="00492714">
        <w:rPr>
          <w:rFonts w:ascii="Times New Roman" w:eastAsiaTheme="minorHAnsi" w:hAnsi="Times New Roman"/>
          <w:sz w:val="24"/>
          <w:szCs w:val="24"/>
          <w:lang w:val="en-US"/>
        </w:rPr>
        <w:t xml:space="preserve"> BG06RDNP001-19</w:t>
      </w:r>
      <w:r w:rsidR="00A17C0F">
        <w:rPr>
          <w:rFonts w:ascii="Times New Roman" w:eastAsiaTheme="minorHAnsi" w:hAnsi="Times New Roman"/>
          <w:sz w:val="24"/>
          <w:szCs w:val="24"/>
        </w:rPr>
        <w:t>.679</w:t>
      </w:r>
      <w:r w:rsidRPr="009D0B76">
        <w:rPr>
          <w:rFonts w:ascii="Times New Roman" w:eastAsiaTheme="minorHAnsi" w:hAnsi="Times New Roman"/>
          <w:sz w:val="24"/>
          <w:szCs w:val="24"/>
          <w:lang w:val="en-US"/>
        </w:rPr>
        <w:t xml:space="preserve"> </w:t>
      </w:r>
      <w:r w:rsidR="00FC09FF" w:rsidRPr="009D0B76">
        <w:rPr>
          <w:rFonts w:ascii="Times New Roman" w:eastAsiaTheme="minorHAnsi" w:hAnsi="Times New Roman"/>
          <w:sz w:val="24"/>
          <w:szCs w:val="24"/>
        </w:rPr>
        <w:t>Подмярка 7.2. Инвестиции в създаването, подобряването или разширяването на всички видове малка по мащаби инфраструктура</w:t>
      </w:r>
      <w:r w:rsidRPr="009D0B76">
        <w:rPr>
          <w:rFonts w:ascii="Times New Roman" w:eastAsiaTheme="minorHAnsi" w:hAnsi="Times New Roman"/>
          <w:sz w:val="24"/>
          <w:szCs w:val="24"/>
        </w:rPr>
        <w:t>, включително инвестиции в енергия от възобновяеми източници и спестяване на енергия“</w:t>
      </w:r>
    </w:p>
    <w:p w14:paraId="72097F45" w14:textId="77777777" w:rsidR="006C634D" w:rsidRPr="009D0B76" w:rsidRDefault="006C634D" w:rsidP="009D0B76">
      <w:pPr>
        <w:spacing w:after="0" w:line="276" w:lineRule="auto"/>
        <w:jc w:val="both"/>
        <w:rPr>
          <w:rFonts w:ascii="Times New Roman" w:eastAsiaTheme="minorHAnsi" w:hAnsi="Times New Roman"/>
          <w:b/>
          <w:color w:val="5B9BD5" w:themeColor="accent1"/>
          <w:sz w:val="24"/>
          <w:szCs w:val="24"/>
        </w:rPr>
      </w:pPr>
      <w:bookmarkStart w:id="3" w:name="_Toc476823135"/>
    </w:p>
    <w:p w14:paraId="71645D1E" w14:textId="77777777" w:rsidR="00C22084" w:rsidRPr="009D0B76" w:rsidRDefault="00C22084" w:rsidP="009D0B76">
      <w:pPr>
        <w:spacing w:after="0" w:line="276" w:lineRule="auto"/>
        <w:jc w:val="both"/>
        <w:rPr>
          <w:rFonts w:ascii="Times New Roman" w:eastAsiaTheme="minorHAnsi" w:hAnsi="Times New Roman"/>
          <w:b/>
          <w:color w:val="5B9BD5" w:themeColor="accent1"/>
          <w:sz w:val="24"/>
          <w:szCs w:val="24"/>
        </w:rPr>
      </w:pPr>
      <w:r w:rsidRPr="009D0B76">
        <w:rPr>
          <w:rFonts w:ascii="Times New Roman" w:eastAsiaTheme="minorHAnsi" w:hAnsi="Times New Roman"/>
          <w:b/>
          <w:color w:val="5B9BD5" w:themeColor="accent1"/>
          <w:sz w:val="24"/>
          <w:szCs w:val="24"/>
        </w:rPr>
        <w:t>4. Измерения по кодове:</w:t>
      </w:r>
      <w:bookmarkEnd w:id="3"/>
    </w:p>
    <w:p w14:paraId="32554D32" w14:textId="77777777" w:rsidR="00C22084" w:rsidRPr="009D0B76" w:rsidRDefault="00C22084" w:rsidP="009D0B7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Неприложимо</w:t>
      </w:r>
    </w:p>
    <w:p w14:paraId="0D7F5667" w14:textId="77777777" w:rsidR="006C634D" w:rsidRPr="009D0B76" w:rsidRDefault="006C634D" w:rsidP="009D0B76">
      <w:pPr>
        <w:spacing w:after="0" w:line="276" w:lineRule="auto"/>
        <w:jc w:val="both"/>
        <w:rPr>
          <w:rFonts w:ascii="Times New Roman" w:eastAsiaTheme="minorHAnsi" w:hAnsi="Times New Roman"/>
          <w:b/>
          <w:color w:val="5B9BD5" w:themeColor="accent1"/>
          <w:sz w:val="24"/>
          <w:szCs w:val="24"/>
        </w:rPr>
      </w:pPr>
      <w:bookmarkStart w:id="4" w:name="_Toc476823136"/>
    </w:p>
    <w:p w14:paraId="69225BB9" w14:textId="77777777" w:rsidR="00C22084" w:rsidRPr="009D0B76" w:rsidRDefault="00C22084" w:rsidP="009D0B76">
      <w:pPr>
        <w:spacing w:after="0" w:line="276" w:lineRule="auto"/>
        <w:jc w:val="both"/>
        <w:rPr>
          <w:rFonts w:ascii="Times New Roman" w:eastAsiaTheme="minorHAnsi" w:hAnsi="Times New Roman"/>
          <w:b/>
          <w:color w:val="5B9BD5" w:themeColor="accent1"/>
          <w:sz w:val="24"/>
          <w:szCs w:val="24"/>
        </w:rPr>
      </w:pPr>
      <w:r w:rsidRPr="009D0B76">
        <w:rPr>
          <w:rFonts w:ascii="Times New Roman" w:eastAsiaTheme="minorHAnsi" w:hAnsi="Times New Roman"/>
          <w:b/>
          <w:color w:val="5B9BD5" w:themeColor="accent1"/>
          <w:sz w:val="24"/>
          <w:szCs w:val="24"/>
        </w:rPr>
        <w:t>5. Териториален обхват:</w:t>
      </w:r>
      <w:bookmarkEnd w:id="4"/>
    </w:p>
    <w:p w14:paraId="6625ABC9" w14:textId="77777777" w:rsidR="00AB565C" w:rsidRPr="009D0B76" w:rsidRDefault="00AB565C" w:rsidP="009D0B7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heme="minorHAnsi" w:hAnsi="Times New Roman"/>
          <w:sz w:val="24"/>
          <w:szCs w:val="24"/>
          <w:lang w:val="en-US"/>
        </w:rPr>
      </w:pPr>
      <w:r w:rsidRPr="009D0B76">
        <w:rPr>
          <w:rFonts w:ascii="Times New Roman" w:eastAsiaTheme="minorHAnsi" w:hAnsi="Times New Roman"/>
          <w:sz w:val="24"/>
          <w:szCs w:val="24"/>
        </w:rPr>
        <w:t>Територията на дейст</w:t>
      </w:r>
      <w:r w:rsidR="00EC7C8C" w:rsidRPr="009D0B76">
        <w:rPr>
          <w:rFonts w:ascii="Times New Roman" w:eastAsiaTheme="minorHAnsi" w:hAnsi="Times New Roman"/>
          <w:sz w:val="24"/>
          <w:szCs w:val="24"/>
        </w:rPr>
        <w:t>вие на МИГ „Костинброд - Своге“</w:t>
      </w:r>
    </w:p>
    <w:p w14:paraId="4E3C2738" w14:textId="77777777" w:rsidR="006C634D" w:rsidRPr="009D0B76" w:rsidRDefault="006C634D" w:rsidP="009D0B76">
      <w:pPr>
        <w:spacing w:after="0" w:line="276" w:lineRule="auto"/>
        <w:jc w:val="both"/>
        <w:rPr>
          <w:rFonts w:ascii="Times New Roman" w:eastAsiaTheme="minorHAnsi" w:hAnsi="Times New Roman"/>
          <w:b/>
          <w:color w:val="5B9BD5" w:themeColor="accent1"/>
          <w:sz w:val="24"/>
          <w:szCs w:val="24"/>
        </w:rPr>
      </w:pPr>
      <w:bookmarkStart w:id="5" w:name="_Toc476823137"/>
    </w:p>
    <w:p w14:paraId="74B96A14" w14:textId="77777777" w:rsidR="00820085" w:rsidRPr="009D0B76" w:rsidRDefault="00665FE9" w:rsidP="009D0B76">
      <w:pPr>
        <w:spacing w:after="0" w:line="276" w:lineRule="auto"/>
        <w:jc w:val="both"/>
        <w:rPr>
          <w:rFonts w:ascii="Times New Roman" w:eastAsiaTheme="minorHAnsi" w:hAnsi="Times New Roman"/>
          <w:b/>
          <w:color w:val="5B9BD5" w:themeColor="accent1"/>
          <w:sz w:val="24"/>
          <w:szCs w:val="24"/>
        </w:rPr>
      </w:pPr>
      <w:r w:rsidRPr="009D0B76">
        <w:rPr>
          <w:rFonts w:ascii="Times New Roman" w:eastAsiaTheme="minorHAnsi" w:hAnsi="Times New Roman"/>
          <w:b/>
          <w:color w:val="5B9BD5" w:themeColor="accent1"/>
          <w:sz w:val="24"/>
          <w:szCs w:val="24"/>
        </w:rPr>
        <w:t>6. Цели на предоставяната безвъзмездна финансова помощ по процедурата и очаквани резултати:</w:t>
      </w:r>
      <w:bookmarkEnd w:id="5"/>
    </w:p>
    <w:p w14:paraId="08278033" w14:textId="77777777" w:rsidR="00665FE9" w:rsidRPr="009D0B76" w:rsidRDefault="00820085" w:rsidP="009D0B7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Основна цел на мярката е насърчаване на социалното приобщаване, намаляването на бедността и икономическото развитие на територията на МИГ „Костинброд - Своге” чрез: 1) Подобряване на средата и качеството на живот в населените места; 2) Осигуряване на базови услуги на населението на целевите общини и достъпа до тях в сферата на образованието, социалните грижи, културата, благоустройството, </w:t>
      </w:r>
      <w:r w:rsidRPr="009D0B76">
        <w:rPr>
          <w:rFonts w:ascii="Times New Roman" w:eastAsiaTheme="minorHAnsi" w:hAnsi="Times New Roman"/>
          <w:sz w:val="24"/>
          <w:szCs w:val="24"/>
        </w:rPr>
        <w:lastRenderedPageBreak/>
        <w:t>физическата култура, спорта и отдиха и др. 3) Повишаване привлекателността на територията на МИГ чрез обновяване на инфраструктурата.</w:t>
      </w:r>
    </w:p>
    <w:p w14:paraId="6E6DCC9D" w14:textId="77777777" w:rsidR="00665FE9" w:rsidRPr="009D0B76" w:rsidRDefault="00665FE9" w:rsidP="009D0B7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Влошаващото се демографско състояние и социално-икономически характеристики на селските райони се отразява пряко и на състоянието на инфраструктурата и на качеството на предлаганите услуги за населението в селските райони. Поради по-малкия брой население, неговата възрастова и образователна структура в селските райони има недостиг на инвестиции за поддържане на инфраструктурата. Това води до влошаване на качеството на живот и застрашава способността на селските райони да задържат населението и да привличат инвестиции, което ги поставя в социално-икономически упадък.</w:t>
      </w:r>
    </w:p>
    <w:p w14:paraId="054F83B2" w14:textId="77777777" w:rsidR="009A15AB" w:rsidRPr="009D0B76" w:rsidRDefault="00665FE9" w:rsidP="009D0B7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Липсата на достатъчна и качествена инфраструктура пряко влияе върху социално-икономическото развитие на селата на територията на МИГ „</w:t>
      </w:r>
      <w:r w:rsidR="007950E2" w:rsidRPr="009D0B76">
        <w:rPr>
          <w:rFonts w:ascii="Times New Roman" w:eastAsiaTheme="minorHAnsi" w:hAnsi="Times New Roman"/>
          <w:sz w:val="24"/>
          <w:szCs w:val="24"/>
        </w:rPr>
        <w:t>Костинброд-Своге</w:t>
      </w:r>
      <w:r w:rsidRPr="009D0B76">
        <w:rPr>
          <w:rFonts w:ascii="Times New Roman" w:eastAsiaTheme="minorHAnsi" w:hAnsi="Times New Roman"/>
          <w:sz w:val="24"/>
          <w:szCs w:val="24"/>
        </w:rPr>
        <w:t>”. За да се намалят съществуващите различия между селото и града чрез критериите за оценка ще се насърчи създаването, подобряването или разширяването на малка по мащаби  инфраструктура с изявен приоритет към селата, което ще допринесе за ограничаване на диспропорциите в развитието между градовете и селата, водещо до обезлю</w:t>
      </w:r>
      <w:r w:rsidR="009A15AB" w:rsidRPr="009D0B76">
        <w:rPr>
          <w:rFonts w:ascii="Times New Roman" w:eastAsiaTheme="minorHAnsi" w:hAnsi="Times New Roman"/>
          <w:sz w:val="24"/>
          <w:szCs w:val="24"/>
        </w:rPr>
        <w:t>дяването на част от територията.</w:t>
      </w:r>
    </w:p>
    <w:p w14:paraId="567C036D" w14:textId="77777777" w:rsidR="000A076D" w:rsidRPr="009D0B76" w:rsidRDefault="000A076D" w:rsidP="009D0B76">
      <w:pPr>
        <w:pBdr>
          <w:top w:val="single" w:sz="4" w:space="1" w:color="auto"/>
          <w:left w:val="single" w:sz="4" w:space="4" w:color="auto"/>
          <w:bottom w:val="single" w:sz="4" w:space="1" w:color="auto"/>
          <w:right w:val="single" w:sz="4" w:space="8"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b/>
          <w:sz w:val="24"/>
          <w:szCs w:val="24"/>
        </w:rPr>
        <w:t>Обхват на подпомагане:</w:t>
      </w:r>
      <w:r w:rsidRPr="009D0B76">
        <w:rPr>
          <w:rFonts w:ascii="Times New Roman" w:eastAsiaTheme="minorHAnsi" w:hAnsi="Times New Roman"/>
          <w:sz w:val="24"/>
          <w:szCs w:val="24"/>
        </w:rPr>
        <w:t xml:space="preserve"> По мярката се подпомагат проекти за подобряване на физическата среда и обхваща обектите и съоръженията за реализиране на услугите в сферата на образованието, социалните грижи, културата, водоснабдяването и канализацията, енергоснабдяването, телекомуникациите, транспорта, благоустройството, физическата култура, спорта и отдиха. По мярката не са допустими инвестиции в инфраструктура за здравеопазване. Дейностите по изграждане, реконструкция и/или рехабилитация на водоснабдителни системи и съоръжения са допустими само в агломерации с под 2 000 е. ж. в селските райони. </w:t>
      </w:r>
    </w:p>
    <w:p w14:paraId="6E9C5C8A" w14:textId="77777777" w:rsidR="000A076D" w:rsidRPr="009D0B76" w:rsidRDefault="000A076D" w:rsidP="009D0B76">
      <w:pPr>
        <w:pBdr>
          <w:top w:val="single" w:sz="4" w:space="1" w:color="auto"/>
          <w:left w:val="single" w:sz="4" w:space="4" w:color="auto"/>
          <w:bottom w:val="single" w:sz="4" w:space="1" w:color="auto"/>
          <w:right w:val="single" w:sz="4" w:space="8"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b/>
          <w:sz w:val="24"/>
          <w:szCs w:val="24"/>
        </w:rPr>
        <w:t>Очаквани резултати:</w:t>
      </w:r>
      <w:r w:rsidRPr="009D0B76">
        <w:rPr>
          <w:rFonts w:ascii="Times New Roman" w:eastAsiaTheme="minorHAnsi" w:hAnsi="Times New Roman"/>
          <w:sz w:val="24"/>
          <w:szCs w:val="24"/>
        </w:rPr>
        <w:t xml:space="preserve"> Очакваните резултати от настоящата процедура за предоставяне на безвъзмездна финансова помощ са свързани с: Строителство, реконструкция и/или рехабилитация на нови и съществуващи общински пътища, изграждане, реконструкция и/или рехабилитация на водоснабдителни системи и съоръжения в агломерации с под 2 000 е. ж. в селските райони, изграждане и/или обновяване на площи за широко обществено ползване, изграждане, реконструкция, ремонт, оборудване и/или обзавеждане на социална, реконструкция и/или ремонт на общински сгради, изграждане, </w:t>
      </w:r>
      <w:r w:rsidRPr="009D0B76">
        <w:rPr>
          <w:rFonts w:ascii="Times New Roman" w:eastAsiaTheme="minorHAnsi" w:hAnsi="Times New Roman"/>
          <w:sz w:val="24"/>
          <w:szCs w:val="24"/>
        </w:rPr>
        <w:lastRenderedPageBreak/>
        <w:t>реконструкция, ремонт, оборудване и/или обзавеждане на спортна инфраструктура, изграждане, реконструкция, ремонт, реставрация, закупуване на оборудване и/или обзавеждане на обекти, свързани с културния живот, реконструкция, ремонт, оборудване и/или обзавеждане на общинска образователна инфраструктура с местно значение в на територията на МИГ.</w:t>
      </w:r>
    </w:p>
    <w:p w14:paraId="7F970234" w14:textId="77777777" w:rsidR="00E17E85" w:rsidRPr="009D0B76" w:rsidRDefault="00E17E85" w:rsidP="009D0B76">
      <w:pPr>
        <w:spacing w:after="0" w:line="276" w:lineRule="auto"/>
        <w:jc w:val="both"/>
        <w:rPr>
          <w:rFonts w:ascii="Times New Roman" w:eastAsiaTheme="minorHAnsi" w:hAnsi="Times New Roman"/>
          <w:b/>
          <w:color w:val="5B9BD5" w:themeColor="accent1"/>
          <w:sz w:val="24"/>
          <w:szCs w:val="24"/>
        </w:rPr>
      </w:pPr>
    </w:p>
    <w:p w14:paraId="5F3C90A1" w14:textId="77777777" w:rsidR="00282E28" w:rsidRPr="009D0B76" w:rsidRDefault="00BC47E1" w:rsidP="009D0B76">
      <w:pPr>
        <w:spacing w:after="0" w:line="276" w:lineRule="auto"/>
        <w:jc w:val="both"/>
        <w:rPr>
          <w:rFonts w:ascii="Times New Roman" w:eastAsiaTheme="minorHAnsi" w:hAnsi="Times New Roman"/>
          <w:b/>
          <w:color w:val="5B9BD5" w:themeColor="accent1"/>
          <w:sz w:val="24"/>
          <w:szCs w:val="24"/>
        </w:rPr>
      </w:pPr>
      <w:r w:rsidRPr="009D0B76">
        <w:rPr>
          <w:rFonts w:ascii="Times New Roman" w:eastAsiaTheme="minorHAnsi" w:hAnsi="Times New Roman"/>
          <w:b/>
          <w:color w:val="5B9BD5" w:themeColor="accent1"/>
          <w:sz w:val="24"/>
          <w:szCs w:val="24"/>
        </w:rPr>
        <w:t>7. Индикатори:</w:t>
      </w:r>
    </w:p>
    <w:p w14:paraId="3185678D" w14:textId="77777777" w:rsidR="00E33AC8" w:rsidRPr="009D0B76" w:rsidRDefault="00BC47E1"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Финансирането на проекти на територията на МИГ Костинброд-Своге чрез одобрената стратегия за местно развитие по ПРСР следва да допринесе в максимална степен за постигането на индикаторите по Приоритетна ос 2 „Повишаване качеството на живот на територията, развитие и активизиране на местните човешки, природни, материални и културни ресурси”. МИГ наблюдава и контролира качеството на изпълнението на Стратегията за ВОМР, като следи степента на постигане на индикаторите. Стратегията е определила целевите стойности на индикаторите, спрямо които се измерва постигането на нейните цели. Индикаторите по подмярка 7.2 и целевите им стойности, които трябва да бъдат достигнати, са дадени в таблицата:</w:t>
      </w:r>
    </w:p>
    <w:p w14:paraId="65E257C0" w14:textId="77777777" w:rsidR="00282E28" w:rsidRPr="009D0B76" w:rsidRDefault="00282E28"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p>
    <w:tbl>
      <w:tblPr>
        <w:tblW w:w="9323" w:type="dxa"/>
        <w:jc w:val="center"/>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1E0" w:firstRow="1" w:lastRow="1" w:firstColumn="1" w:lastColumn="1" w:noHBand="0" w:noVBand="0"/>
      </w:tblPr>
      <w:tblGrid>
        <w:gridCol w:w="717"/>
        <w:gridCol w:w="3245"/>
        <w:gridCol w:w="1311"/>
        <w:gridCol w:w="1504"/>
        <w:gridCol w:w="2546"/>
      </w:tblGrid>
      <w:tr w:rsidR="006B000C" w:rsidRPr="009D0B76" w14:paraId="29577E52" w14:textId="77777777" w:rsidTr="00E33AC8">
        <w:trPr>
          <w:trHeight w:val="320"/>
          <w:jc w:val="center"/>
        </w:trPr>
        <w:tc>
          <w:tcPr>
            <w:tcW w:w="9323" w:type="dxa"/>
            <w:gridSpan w:val="5"/>
            <w:shd w:val="clear" w:color="auto" w:fill="9BBB59"/>
            <w:vAlign w:val="center"/>
          </w:tcPr>
          <w:p w14:paraId="374D3E30"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ИНДИКАТОРИ ПО МЯРКА 7.2 ОТ СВОМР</w:t>
            </w:r>
          </w:p>
        </w:tc>
      </w:tr>
      <w:tr w:rsidR="006B000C" w:rsidRPr="009D0B76" w14:paraId="17F61BB0" w14:textId="77777777" w:rsidTr="00E33AC8">
        <w:trPr>
          <w:trHeight w:val="595"/>
          <w:jc w:val="center"/>
        </w:trPr>
        <w:tc>
          <w:tcPr>
            <w:tcW w:w="717" w:type="dxa"/>
            <w:shd w:val="clear" w:color="auto" w:fill="9BBB59"/>
            <w:vAlign w:val="center"/>
          </w:tcPr>
          <w:p w14:paraId="1C95E330"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Вид индикатор</w:t>
            </w:r>
          </w:p>
        </w:tc>
        <w:tc>
          <w:tcPr>
            <w:tcW w:w="3245" w:type="dxa"/>
            <w:shd w:val="clear" w:color="auto" w:fill="9BBB59"/>
            <w:vAlign w:val="center"/>
          </w:tcPr>
          <w:p w14:paraId="3D396248"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Индикатор</w:t>
            </w:r>
          </w:p>
        </w:tc>
        <w:tc>
          <w:tcPr>
            <w:tcW w:w="1311" w:type="dxa"/>
            <w:shd w:val="clear" w:color="auto" w:fill="9BBB59"/>
            <w:vAlign w:val="center"/>
          </w:tcPr>
          <w:p w14:paraId="5D7C46AF"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Мерна единица</w:t>
            </w:r>
          </w:p>
        </w:tc>
        <w:tc>
          <w:tcPr>
            <w:tcW w:w="1504" w:type="dxa"/>
            <w:shd w:val="clear" w:color="auto" w:fill="9BBB59"/>
            <w:vAlign w:val="center"/>
          </w:tcPr>
          <w:p w14:paraId="03B0A250"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Цел до</w:t>
            </w:r>
          </w:p>
          <w:p w14:paraId="2A4F7868"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2023 г.</w:t>
            </w:r>
          </w:p>
        </w:tc>
        <w:tc>
          <w:tcPr>
            <w:tcW w:w="2546" w:type="dxa"/>
            <w:shd w:val="clear" w:color="auto" w:fill="9BBB59"/>
            <w:vAlign w:val="center"/>
          </w:tcPr>
          <w:p w14:paraId="45CB011A"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Източник на информация</w:t>
            </w:r>
          </w:p>
        </w:tc>
      </w:tr>
      <w:tr w:rsidR="006B000C" w:rsidRPr="009D0B76" w14:paraId="40DD9F02" w14:textId="77777777" w:rsidTr="00E33AC8">
        <w:trPr>
          <w:trHeight w:val="349"/>
          <w:jc w:val="center"/>
        </w:trPr>
        <w:tc>
          <w:tcPr>
            <w:tcW w:w="717" w:type="dxa"/>
            <w:vMerge w:val="restart"/>
            <w:vAlign w:val="center"/>
          </w:tcPr>
          <w:p w14:paraId="5790EF3A"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Изходен</w:t>
            </w:r>
          </w:p>
        </w:tc>
        <w:tc>
          <w:tcPr>
            <w:tcW w:w="3245" w:type="dxa"/>
            <w:vAlign w:val="center"/>
          </w:tcPr>
          <w:p w14:paraId="6E365810"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Брой проекти, финансирани по мярката</w:t>
            </w:r>
          </w:p>
        </w:tc>
        <w:tc>
          <w:tcPr>
            <w:tcW w:w="1311" w:type="dxa"/>
            <w:vAlign w:val="center"/>
          </w:tcPr>
          <w:p w14:paraId="35DD4F68"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Брой</w:t>
            </w:r>
          </w:p>
        </w:tc>
        <w:tc>
          <w:tcPr>
            <w:tcW w:w="1504" w:type="dxa"/>
            <w:vAlign w:val="center"/>
          </w:tcPr>
          <w:p w14:paraId="063C0A59"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4</w:t>
            </w:r>
          </w:p>
        </w:tc>
        <w:tc>
          <w:tcPr>
            <w:tcW w:w="2546" w:type="dxa"/>
            <w:vAlign w:val="center"/>
          </w:tcPr>
          <w:p w14:paraId="4865A956"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Мониторинг</w:t>
            </w:r>
          </w:p>
          <w:p w14:paraId="7F1E1A23"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База данни и отчети МИГ</w:t>
            </w:r>
          </w:p>
        </w:tc>
      </w:tr>
      <w:tr w:rsidR="006B000C" w:rsidRPr="009D0B76" w14:paraId="1A95C510" w14:textId="77777777" w:rsidTr="00E33AC8">
        <w:trPr>
          <w:trHeight w:val="916"/>
          <w:jc w:val="center"/>
        </w:trPr>
        <w:tc>
          <w:tcPr>
            <w:tcW w:w="717" w:type="dxa"/>
            <w:vMerge/>
            <w:vAlign w:val="center"/>
          </w:tcPr>
          <w:p w14:paraId="1129F7F4"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p>
        </w:tc>
        <w:tc>
          <w:tcPr>
            <w:tcW w:w="3245" w:type="dxa"/>
            <w:vAlign w:val="center"/>
          </w:tcPr>
          <w:p w14:paraId="121A1885"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Брой бенефициенти, подпомогнати по мярката</w:t>
            </w:r>
          </w:p>
        </w:tc>
        <w:tc>
          <w:tcPr>
            <w:tcW w:w="1311" w:type="dxa"/>
            <w:vAlign w:val="center"/>
          </w:tcPr>
          <w:p w14:paraId="0E2B67BB"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Брой</w:t>
            </w:r>
          </w:p>
        </w:tc>
        <w:tc>
          <w:tcPr>
            <w:tcW w:w="1504" w:type="dxa"/>
            <w:vAlign w:val="center"/>
          </w:tcPr>
          <w:p w14:paraId="32373A5D"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4</w:t>
            </w:r>
          </w:p>
        </w:tc>
        <w:tc>
          <w:tcPr>
            <w:tcW w:w="2546" w:type="dxa"/>
            <w:vAlign w:val="center"/>
          </w:tcPr>
          <w:p w14:paraId="0BC6DBED"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Мониторинг</w:t>
            </w:r>
          </w:p>
          <w:p w14:paraId="66EFDA47"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База данни и отчети МИГ</w:t>
            </w:r>
          </w:p>
        </w:tc>
      </w:tr>
      <w:tr w:rsidR="006B000C" w:rsidRPr="009D0B76" w14:paraId="5E917AF1" w14:textId="77777777" w:rsidTr="00E33AC8">
        <w:trPr>
          <w:trHeight w:val="870"/>
          <w:jc w:val="center"/>
        </w:trPr>
        <w:tc>
          <w:tcPr>
            <w:tcW w:w="717" w:type="dxa"/>
            <w:vMerge/>
            <w:vAlign w:val="center"/>
          </w:tcPr>
          <w:p w14:paraId="7EB5C688"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p>
        </w:tc>
        <w:tc>
          <w:tcPr>
            <w:tcW w:w="3245" w:type="dxa"/>
            <w:vAlign w:val="center"/>
          </w:tcPr>
          <w:p w14:paraId="1E8E59CD"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Общ размер на инвестициите</w:t>
            </w:r>
          </w:p>
        </w:tc>
        <w:tc>
          <w:tcPr>
            <w:tcW w:w="1311" w:type="dxa"/>
            <w:vAlign w:val="center"/>
          </w:tcPr>
          <w:p w14:paraId="5617D3D4"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Лева</w:t>
            </w:r>
          </w:p>
        </w:tc>
        <w:tc>
          <w:tcPr>
            <w:tcW w:w="1504" w:type="dxa"/>
            <w:vAlign w:val="center"/>
          </w:tcPr>
          <w:p w14:paraId="6B265B5B"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1 060 406.6</w:t>
            </w:r>
          </w:p>
        </w:tc>
        <w:tc>
          <w:tcPr>
            <w:tcW w:w="2546" w:type="dxa"/>
            <w:vAlign w:val="center"/>
          </w:tcPr>
          <w:p w14:paraId="398BAF1D"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Мониторинг</w:t>
            </w:r>
          </w:p>
          <w:p w14:paraId="3EC9CB85"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lastRenderedPageBreak/>
              <w:t>База данни и отчети МИГ</w:t>
            </w:r>
          </w:p>
        </w:tc>
      </w:tr>
      <w:tr w:rsidR="006B000C" w:rsidRPr="009D0B76" w14:paraId="4DB1CBDE" w14:textId="77777777" w:rsidTr="00E33AC8">
        <w:trPr>
          <w:trHeight w:val="198"/>
          <w:jc w:val="center"/>
        </w:trPr>
        <w:tc>
          <w:tcPr>
            <w:tcW w:w="717" w:type="dxa"/>
            <w:vMerge/>
            <w:vAlign w:val="center"/>
          </w:tcPr>
          <w:p w14:paraId="0E265049"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p>
        </w:tc>
        <w:tc>
          <w:tcPr>
            <w:tcW w:w="3245" w:type="dxa"/>
            <w:vAlign w:val="center"/>
          </w:tcPr>
          <w:p w14:paraId="6EE2C719"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Брой проекти, свързани с подобряване на базисна и/или публична инфраструктура</w:t>
            </w:r>
          </w:p>
        </w:tc>
        <w:tc>
          <w:tcPr>
            <w:tcW w:w="1311" w:type="dxa"/>
            <w:vAlign w:val="center"/>
          </w:tcPr>
          <w:p w14:paraId="0CFD0E55"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Брой</w:t>
            </w:r>
          </w:p>
        </w:tc>
        <w:tc>
          <w:tcPr>
            <w:tcW w:w="1504" w:type="dxa"/>
            <w:vAlign w:val="center"/>
          </w:tcPr>
          <w:p w14:paraId="631B9D48"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2</w:t>
            </w:r>
          </w:p>
        </w:tc>
        <w:tc>
          <w:tcPr>
            <w:tcW w:w="2546" w:type="dxa"/>
            <w:vAlign w:val="center"/>
          </w:tcPr>
          <w:p w14:paraId="356DBB28"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База данни и отчети МИГ и бенефициенти</w:t>
            </w:r>
          </w:p>
        </w:tc>
      </w:tr>
      <w:tr w:rsidR="006B000C" w:rsidRPr="009D0B76" w14:paraId="5564B9CA" w14:textId="77777777" w:rsidTr="00E33AC8">
        <w:trPr>
          <w:trHeight w:val="198"/>
          <w:jc w:val="center"/>
        </w:trPr>
        <w:tc>
          <w:tcPr>
            <w:tcW w:w="717" w:type="dxa"/>
            <w:vMerge/>
            <w:vAlign w:val="center"/>
          </w:tcPr>
          <w:p w14:paraId="38E6D16D"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p>
        </w:tc>
        <w:tc>
          <w:tcPr>
            <w:tcW w:w="3245" w:type="dxa"/>
            <w:vAlign w:val="center"/>
          </w:tcPr>
          <w:p w14:paraId="09FD0AE8"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Брой проекти, включващи дейности за опазване на природното и културно наследство</w:t>
            </w:r>
          </w:p>
        </w:tc>
        <w:tc>
          <w:tcPr>
            <w:tcW w:w="1311" w:type="dxa"/>
            <w:vAlign w:val="center"/>
          </w:tcPr>
          <w:p w14:paraId="4B98249F"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Брой</w:t>
            </w:r>
          </w:p>
        </w:tc>
        <w:tc>
          <w:tcPr>
            <w:tcW w:w="1504" w:type="dxa"/>
            <w:vAlign w:val="center"/>
          </w:tcPr>
          <w:p w14:paraId="26C1C666"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1</w:t>
            </w:r>
          </w:p>
        </w:tc>
        <w:tc>
          <w:tcPr>
            <w:tcW w:w="2546" w:type="dxa"/>
            <w:vAlign w:val="center"/>
          </w:tcPr>
          <w:p w14:paraId="72E4FA56"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База данни и отчети МИГ и бенефициенти</w:t>
            </w:r>
          </w:p>
        </w:tc>
      </w:tr>
      <w:tr w:rsidR="006B000C" w:rsidRPr="009D0B76" w14:paraId="66D60B52" w14:textId="77777777" w:rsidTr="00E33AC8">
        <w:trPr>
          <w:trHeight w:val="595"/>
          <w:jc w:val="center"/>
        </w:trPr>
        <w:tc>
          <w:tcPr>
            <w:tcW w:w="717" w:type="dxa"/>
            <w:vMerge w:val="restart"/>
            <w:vAlign w:val="center"/>
          </w:tcPr>
          <w:p w14:paraId="143860AA"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Резултат</w:t>
            </w:r>
          </w:p>
          <w:p w14:paraId="51E10AE9"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p>
        </w:tc>
        <w:tc>
          <w:tcPr>
            <w:tcW w:w="3245" w:type="dxa"/>
            <w:vAlign w:val="center"/>
          </w:tcPr>
          <w:p w14:paraId="416C6C7A"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Възстановени общински пътища</w:t>
            </w:r>
          </w:p>
        </w:tc>
        <w:tc>
          <w:tcPr>
            <w:tcW w:w="1311" w:type="dxa"/>
            <w:vAlign w:val="center"/>
          </w:tcPr>
          <w:p w14:paraId="778A6A5F"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Км</w:t>
            </w:r>
          </w:p>
        </w:tc>
        <w:tc>
          <w:tcPr>
            <w:tcW w:w="1504" w:type="dxa"/>
            <w:vAlign w:val="center"/>
          </w:tcPr>
          <w:p w14:paraId="141FA77D"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0,5</w:t>
            </w:r>
          </w:p>
        </w:tc>
        <w:tc>
          <w:tcPr>
            <w:tcW w:w="2546" w:type="dxa"/>
            <w:vAlign w:val="center"/>
          </w:tcPr>
          <w:p w14:paraId="1D692C52"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База данни и отчети МИГ и бенефициенти</w:t>
            </w:r>
          </w:p>
        </w:tc>
      </w:tr>
      <w:tr w:rsidR="006B000C" w:rsidRPr="009D0B76" w14:paraId="201C851D" w14:textId="77777777" w:rsidTr="00E33AC8">
        <w:trPr>
          <w:trHeight w:val="1237"/>
          <w:jc w:val="center"/>
        </w:trPr>
        <w:tc>
          <w:tcPr>
            <w:tcW w:w="717" w:type="dxa"/>
            <w:vMerge/>
            <w:vAlign w:val="center"/>
          </w:tcPr>
          <w:p w14:paraId="3C7D3835"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p>
        </w:tc>
        <w:tc>
          <w:tcPr>
            <w:tcW w:w="3245" w:type="dxa"/>
            <w:vAlign w:val="center"/>
          </w:tcPr>
          <w:p w14:paraId="2AE226EA"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Заведения за социални услуги и/или културни центрове и/или обществени сгради с подобрена база</w:t>
            </w:r>
          </w:p>
        </w:tc>
        <w:tc>
          <w:tcPr>
            <w:tcW w:w="1311" w:type="dxa"/>
            <w:vAlign w:val="center"/>
          </w:tcPr>
          <w:p w14:paraId="40FBBACC"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Брой</w:t>
            </w:r>
          </w:p>
        </w:tc>
        <w:tc>
          <w:tcPr>
            <w:tcW w:w="1504" w:type="dxa"/>
            <w:vAlign w:val="center"/>
          </w:tcPr>
          <w:p w14:paraId="1439EB25"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1</w:t>
            </w:r>
          </w:p>
        </w:tc>
        <w:tc>
          <w:tcPr>
            <w:tcW w:w="2546" w:type="dxa"/>
            <w:vAlign w:val="center"/>
          </w:tcPr>
          <w:p w14:paraId="0CFEA56A"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База данни и отчети МИГ и бенефициенти</w:t>
            </w:r>
          </w:p>
        </w:tc>
      </w:tr>
      <w:tr w:rsidR="006B000C" w:rsidRPr="009D0B76" w14:paraId="2CD32FEB" w14:textId="77777777" w:rsidTr="00E33AC8">
        <w:trPr>
          <w:trHeight w:val="947"/>
          <w:jc w:val="center"/>
        </w:trPr>
        <w:tc>
          <w:tcPr>
            <w:tcW w:w="717" w:type="dxa"/>
            <w:vMerge/>
            <w:vAlign w:val="center"/>
          </w:tcPr>
          <w:p w14:paraId="012B6675"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p>
        </w:tc>
        <w:tc>
          <w:tcPr>
            <w:tcW w:w="3245" w:type="dxa"/>
            <w:vAlign w:val="center"/>
          </w:tcPr>
          <w:p w14:paraId="79063D77"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Подобрени младежки и  спортни центрове и/или детски и спортни площадки</w:t>
            </w:r>
          </w:p>
        </w:tc>
        <w:tc>
          <w:tcPr>
            <w:tcW w:w="1311" w:type="dxa"/>
            <w:vAlign w:val="center"/>
          </w:tcPr>
          <w:p w14:paraId="7F70E973"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Брой</w:t>
            </w:r>
          </w:p>
        </w:tc>
        <w:tc>
          <w:tcPr>
            <w:tcW w:w="1504" w:type="dxa"/>
            <w:vAlign w:val="center"/>
          </w:tcPr>
          <w:p w14:paraId="29B8E9D3"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1</w:t>
            </w:r>
          </w:p>
        </w:tc>
        <w:tc>
          <w:tcPr>
            <w:tcW w:w="2546" w:type="dxa"/>
            <w:vAlign w:val="center"/>
          </w:tcPr>
          <w:p w14:paraId="35EEFFAC"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База данни и отчети МИГ и бенефициенти</w:t>
            </w:r>
          </w:p>
        </w:tc>
      </w:tr>
      <w:tr w:rsidR="006B000C" w:rsidRPr="009D0B76" w14:paraId="4B48A359" w14:textId="77777777" w:rsidTr="00E33AC8">
        <w:trPr>
          <w:trHeight w:val="93"/>
          <w:jc w:val="center"/>
        </w:trPr>
        <w:tc>
          <w:tcPr>
            <w:tcW w:w="717" w:type="dxa"/>
            <w:vMerge/>
            <w:vAlign w:val="center"/>
          </w:tcPr>
          <w:p w14:paraId="3CE21A52"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p>
        </w:tc>
        <w:tc>
          <w:tcPr>
            <w:tcW w:w="3245" w:type="dxa"/>
            <w:vAlign w:val="center"/>
          </w:tcPr>
          <w:p w14:paraId="49188E5C"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Възстановени паркови площи и градинки</w:t>
            </w:r>
          </w:p>
        </w:tc>
        <w:tc>
          <w:tcPr>
            <w:tcW w:w="1311" w:type="dxa"/>
            <w:vAlign w:val="center"/>
          </w:tcPr>
          <w:p w14:paraId="4E1A3FB4"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Брой</w:t>
            </w:r>
          </w:p>
        </w:tc>
        <w:tc>
          <w:tcPr>
            <w:tcW w:w="1504" w:type="dxa"/>
            <w:vAlign w:val="center"/>
          </w:tcPr>
          <w:p w14:paraId="600AC5E3"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2</w:t>
            </w:r>
          </w:p>
        </w:tc>
        <w:tc>
          <w:tcPr>
            <w:tcW w:w="2546" w:type="dxa"/>
            <w:vAlign w:val="center"/>
          </w:tcPr>
          <w:p w14:paraId="18568C14"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База данни и отчети МИГ и бенефициенти</w:t>
            </w:r>
          </w:p>
        </w:tc>
      </w:tr>
      <w:tr w:rsidR="006B000C" w:rsidRPr="009D0B76" w14:paraId="41E3C35A" w14:textId="77777777" w:rsidTr="00E33AC8">
        <w:trPr>
          <w:trHeight w:val="1252"/>
          <w:jc w:val="center"/>
        </w:trPr>
        <w:tc>
          <w:tcPr>
            <w:tcW w:w="717" w:type="dxa"/>
            <w:vMerge/>
            <w:vAlign w:val="center"/>
          </w:tcPr>
          <w:p w14:paraId="3CAF5D22"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p>
        </w:tc>
        <w:tc>
          <w:tcPr>
            <w:tcW w:w="3245" w:type="dxa"/>
            <w:vAlign w:val="center"/>
          </w:tcPr>
          <w:p w14:paraId="2E94A5FD"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Социални, културни, спортни и младежки центрове въвели мерки за енергийна ефективност</w:t>
            </w:r>
          </w:p>
        </w:tc>
        <w:tc>
          <w:tcPr>
            <w:tcW w:w="1311" w:type="dxa"/>
            <w:vAlign w:val="center"/>
          </w:tcPr>
          <w:p w14:paraId="17B09D13"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Брой</w:t>
            </w:r>
          </w:p>
        </w:tc>
        <w:tc>
          <w:tcPr>
            <w:tcW w:w="1504" w:type="dxa"/>
            <w:vAlign w:val="center"/>
          </w:tcPr>
          <w:p w14:paraId="6D86A449"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1</w:t>
            </w:r>
          </w:p>
        </w:tc>
        <w:tc>
          <w:tcPr>
            <w:tcW w:w="2546" w:type="dxa"/>
            <w:vAlign w:val="center"/>
          </w:tcPr>
          <w:p w14:paraId="6159822C"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База данни и отчети МИГ и бенефициенти</w:t>
            </w:r>
          </w:p>
        </w:tc>
      </w:tr>
      <w:tr w:rsidR="006B000C" w:rsidRPr="009D0B76" w14:paraId="76BCF059" w14:textId="77777777" w:rsidTr="00E33AC8">
        <w:trPr>
          <w:trHeight w:val="1176"/>
          <w:jc w:val="center"/>
        </w:trPr>
        <w:tc>
          <w:tcPr>
            <w:tcW w:w="717" w:type="dxa"/>
            <w:vAlign w:val="center"/>
          </w:tcPr>
          <w:p w14:paraId="59CA26B7"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Въздействие</w:t>
            </w:r>
          </w:p>
        </w:tc>
        <w:tc>
          <w:tcPr>
            <w:tcW w:w="3245" w:type="dxa"/>
            <w:vAlign w:val="center"/>
          </w:tcPr>
          <w:p w14:paraId="3B3C1E36"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Население облагодетелствано от дребно мащабните инвестиции</w:t>
            </w:r>
          </w:p>
        </w:tc>
        <w:tc>
          <w:tcPr>
            <w:tcW w:w="1311" w:type="dxa"/>
            <w:vAlign w:val="center"/>
          </w:tcPr>
          <w:p w14:paraId="0C5FCE65"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Брой</w:t>
            </w:r>
          </w:p>
        </w:tc>
        <w:tc>
          <w:tcPr>
            <w:tcW w:w="1504" w:type="dxa"/>
            <w:vAlign w:val="center"/>
          </w:tcPr>
          <w:p w14:paraId="527DA4D3"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25 000</w:t>
            </w:r>
          </w:p>
        </w:tc>
        <w:tc>
          <w:tcPr>
            <w:tcW w:w="2546" w:type="dxa"/>
            <w:vAlign w:val="center"/>
          </w:tcPr>
          <w:p w14:paraId="39290BF8" w14:textId="77777777" w:rsidR="006B000C" w:rsidRPr="009D0B76" w:rsidRDefault="006B000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База данни и отчети МИГ и бенефициенти</w:t>
            </w:r>
          </w:p>
        </w:tc>
      </w:tr>
    </w:tbl>
    <w:p w14:paraId="495D7C92" w14:textId="77777777" w:rsidR="00BC47E1" w:rsidRPr="009D0B76" w:rsidRDefault="00BC47E1"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lastRenderedPageBreak/>
        <w:t xml:space="preserve">Бенефициентите трябва да впишат в проектните си предложения прогнозни стойности за индикаторите, които техният конкретен проект си поставя за цел да постигне. Те трябва да посочат и източниците на информация, от които може да се провери степента на постигане на различните индикатори, които трябва да са официални и проверими. Проектните предложения задължително трябва да имат принос към постигането на поне един от посочените индикатори за резултат в съответствие с обявената от МИГ процедура за подбор на проекти. </w:t>
      </w:r>
    </w:p>
    <w:p w14:paraId="2280B8CB" w14:textId="77777777" w:rsidR="00BC47E1" w:rsidRPr="009D0B76" w:rsidRDefault="00BC47E1"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Кандидатите следва да   попълнят данни за базова и целева стойност по относимите индикатори за изпълнение в съответствие с избраните мерки/операции и Указанията за попълване на електронен формуляр за кандидатстване.</w:t>
      </w:r>
    </w:p>
    <w:p w14:paraId="3F3E0FB9" w14:textId="77777777" w:rsidR="00BC47E1" w:rsidRPr="009D0B76" w:rsidRDefault="00BC47E1"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p>
    <w:p w14:paraId="4AEE0D17" w14:textId="77777777" w:rsidR="00BC47E1" w:rsidRPr="009D0B76" w:rsidRDefault="00BC47E1"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ВАЖНО: Кандидатите за предоставяне на безвъзмездна финансова помощ по настоящата процедура чрез подбор посочват информация относно предвижданите за изпълнение индикатори в проектното предложение в Приложение</w:t>
      </w:r>
      <w:r w:rsidR="00774AF7" w:rsidRPr="009D0B76">
        <w:rPr>
          <w:rFonts w:ascii="Times New Roman" w:eastAsiaTheme="minorHAnsi" w:hAnsi="Times New Roman"/>
          <w:b/>
          <w:sz w:val="24"/>
          <w:szCs w:val="24"/>
        </w:rPr>
        <w:t xml:space="preserve"> № 1</w:t>
      </w:r>
      <w:r w:rsidRPr="009D0B76">
        <w:rPr>
          <w:rFonts w:ascii="Times New Roman" w:eastAsiaTheme="minorHAnsi" w:hAnsi="Times New Roman"/>
          <w:b/>
          <w:sz w:val="24"/>
          <w:szCs w:val="24"/>
        </w:rPr>
        <w:t xml:space="preserve"> „Основна информация за проектното предложение“. </w:t>
      </w:r>
    </w:p>
    <w:p w14:paraId="2978FFE0" w14:textId="77777777" w:rsidR="00D559FC" w:rsidRPr="009D0B76" w:rsidRDefault="00D559FC"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b/>
          <w:sz w:val="24"/>
          <w:szCs w:val="24"/>
        </w:rPr>
      </w:pPr>
    </w:p>
    <w:p w14:paraId="21FD0A05" w14:textId="77777777" w:rsidR="00282E28" w:rsidRPr="009D0B76" w:rsidRDefault="00282E28" w:rsidP="009D0B76">
      <w:pPr>
        <w:spacing w:after="0" w:line="276" w:lineRule="auto"/>
        <w:jc w:val="both"/>
        <w:rPr>
          <w:rFonts w:ascii="Times New Roman" w:eastAsiaTheme="minorHAnsi" w:hAnsi="Times New Roman"/>
          <w:b/>
          <w:color w:val="5B9BD5" w:themeColor="accent1"/>
          <w:sz w:val="24"/>
          <w:szCs w:val="24"/>
        </w:rPr>
      </w:pPr>
      <w:bookmarkStart w:id="6" w:name="_Toc476823142"/>
    </w:p>
    <w:p w14:paraId="03762CE6" w14:textId="77777777" w:rsidR="00282E28" w:rsidRPr="009D0B76" w:rsidRDefault="00E33AC8" w:rsidP="009D0B76">
      <w:pPr>
        <w:spacing w:after="0" w:line="276" w:lineRule="auto"/>
        <w:jc w:val="both"/>
        <w:rPr>
          <w:rFonts w:ascii="Times New Roman" w:eastAsiaTheme="minorHAnsi" w:hAnsi="Times New Roman"/>
          <w:b/>
          <w:color w:val="5B9BD5" w:themeColor="accent1"/>
          <w:sz w:val="24"/>
          <w:szCs w:val="24"/>
        </w:rPr>
      </w:pPr>
      <w:r w:rsidRPr="009D0B76">
        <w:rPr>
          <w:rFonts w:ascii="Times New Roman" w:eastAsiaTheme="minorHAnsi" w:hAnsi="Times New Roman"/>
          <w:b/>
          <w:color w:val="5B9BD5" w:themeColor="accent1"/>
          <w:sz w:val="24"/>
          <w:szCs w:val="24"/>
        </w:rPr>
        <w:t>8. Общ размер на безвъзмездната финансова помощ по процедурата:</w:t>
      </w:r>
    </w:p>
    <w:p w14:paraId="67A5272E" w14:textId="77777777" w:rsidR="00E33AC8" w:rsidRPr="009D0B76" w:rsidRDefault="00E33AC8" w:rsidP="009D0B76">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Общия размер на безвъзмездната финансова помощ по процедурата за подбор на проектни предложения по подмярка 7.2 от стратегията за Водено от общностите местно развитие за територията на Местна инициативна група – Костинброд и Своге, финансирана от Програмата за развитие на селските райони за периода 2014 – 2020 г. е  в  размер на </w:t>
      </w:r>
      <w:r w:rsidR="00492714">
        <w:rPr>
          <w:rFonts w:ascii="Times New Roman" w:eastAsiaTheme="minorHAnsi" w:hAnsi="Times New Roman"/>
          <w:b/>
          <w:sz w:val="24"/>
          <w:szCs w:val="24"/>
        </w:rPr>
        <w:t>559 000.00</w:t>
      </w:r>
      <w:r w:rsidRPr="00445D94">
        <w:rPr>
          <w:rFonts w:ascii="Times New Roman" w:eastAsiaTheme="minorHAnsi" w:hAnsi="Times New Roman"/>
          <w:b/>
          <w:sz w:val="24"/>
          <w:szCs w:val="24"/>
        </w:rPr>
        <w:t xml:space="preserve"> лв.</w:t>
      </w:r>
    </w:p>
    <w:p w14:paraId="45DCEF52" w14:textId="77777777" w:rsidR="00282E28" w:rsidRPr="009D0B76" w:rsidRDefault="00282E28" w:rsidP="009D0B76">
      <w:pPr>
        <w:spacing w:after="0" w:line="276" w:lineRule="auto"/>
        <w:jc w:val="both"/>
        <w:rPr>
          <w:rFonts w:ascii="Times New Roman" w:eastAsiaTheme="minorHAnsi" w:hAnsi="Times New Roman"/>
          <w:b/>
          <w:color w:val="5B9BD5" w:themeColor="accent1"/>
          <w:sz w:val="24"/>
          <w:szCs w:val="24"/>
        </w:rPr>
      </w:pPr>
    </w:p>
    <w:p w14:paraId="47D5EDF0" w14:textId="77777777" w:rsidR="00282E28" w:rsidRPr="009D0B76" w:rsidRDefault="00DF058F" w:rsidP="009D0B76">
      <w:pPr>
        <w:spacing w:after="0" w:line="276" w:lineRule="auto"/>
        <w:jc w:val="both"/>
        <w:rPr>
          <w:rFonts w:ascii="Times New Roman" w:eastAsiaTheme="minorHAnsi" w:hAnsi="Times New Roman"/>
          <w:b/>
          <w:color w:val="5B9BD5" w:themeColor="accent1"/>
          <w:sz w:val="24"/>
          <w:szCs w:val="24"/>
        </w:rPr>
      </w:pPr>
      <w:r w:rsidRPr="009D0B76">
        <w:rPr>
          <w:rFonts w:ascii="Times New Roman" w:eastAsiaTheme="minorHAnsi" w:hAnsi="Times New Roman"/>
          <w:b/>
          <w:color w:val="5B9BD5" w:themeColor="accent1"/>
          <w:sz w:val="24"/>
          <w:szCs w:val="24"/>
        </w:rPr>
        <w:t>9. Минимален  и максимален размер на безвъзмездната финансова помощ БФП за конкретен проект:</w:t>
      </w:r>
      <w:bookmarkEnd w:id="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86"/>
      </w:tblGrid>
      <w:tr w:rsidR="00DF058F" w:rsidRPr="009D0B76" w14:paraId="7AE39E14" w14:textId="77777777" w:rsidTr="003E7EE4">
        <w:trPr>
          <w:trHeight w:val="285"/>
        </w:trPr>
        <w:tc>
          <w:tcPr>
            <w:tcW w:w="9322" w:type="dxa"/>
            <w:gridSpan w:val="2"/>
            <w:shd w:val="clear" w:color="auto" w:fill="FFFFFF"/>
            <w:vAlign w:val="center"/>
          </w:tcPr>
          <w:p w14:paraId="7515DF29" w14:textId="77777777" w:rsidR="0086070B" w:rsidRPr="009D0B76" w:rsidRDefault="0086070B" w:rsidP="009D0B76">
            <w:pPr>
              <w:spacing w:after="0" w:line="240" w:lineRule="auto"/>
              <w:contextualSpacing/>
              <w:jc w:val="both"/>
              <w:rPr>
                <w:rFonts w:ascii="Times New Roman" w:eastAsia="Times New Roman" w:hAnsi="Times New Roman"/>
                <w:sz w:val="24"/>
                <w:szCs w:val="24"/>
              </w:rPr>
            </w:pPr>
            <w:r w:rsidRPr="009D0B76">
              <w:rPr>
                <w:rFonts w:ascii="Times New Roman" w:eastAsia="Times New Roman" w:hAnsi="Times New Roman"/>
                <w:sz w:val="24"/>
                <w:szCs w:val="24"/>
              </w:rPr>
              <w:t>Максималният размер</w:t>
            </w:r>
            <w:r w:rsidRPr="009D0B76">
              <w:rPr>
                <w:rFonts w:ascii="Times New Roman" w:eastAsia="Times New Roman" w:hAnsi="Times New Roman"/>
                <w:b/>
                <w:sz w:val="24"/>
                <w:szCs w:val="24"/>
              </w:rPr>
              <w:t xml:space="preserve"> </w:t>
            </w:r>
            <w:r w:rsidRPr="009D0B76">
              <w:rPr>
                <w:rFonts w:ascii="Times New Roman" w:eastAsia="Times New Roman" w:hAnsi="Times New Roman"/>
                <w:sz w:val="24"/>
                <w:szCs w:val="24"/>
              </w:rPr>
              <w:t>на безвъзмездната финансовата помощ по проект не може да надхвърля 391 166.00 лв. за проекти на общини и ВиК оператори и 150 000.00 лв. за проекти на читалища и неправителствени организации. 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p w14:paraId="631F12F7" w14:textId="77777777" w:rsidR="0086070B" w:rsidRPr="009D0B76" w:rsidRDefault="0086070B" w:rsidP="009D0B76">
            <w:pPr>
              <w:spacing w:after="0" w:line="240" w:lineRule="auto"/>
              <w:contextualSpacing/>
              <w:jc w:val="both"/>
              <w:rPr>
                <w:rFonts w:ascii="Times New Roman" w:eastAsia="Times New Roman" w:hAnsi="Times New Roman"/>
                <w:sz w:val="24"/>
                <w:szCs w:val="24"/>
              </w:rPr>
            </w:pPr>
          </w:p>
          <w:p w14:paraId="3A277D4D" w14:textId="77777777" w:rsidR="0086070B" w:rsidRPr="009D0B76" w:rsidRDefault="0086070B" w:rsidP="009D0B76">
            <w:pPr>
              <w:spacing w:after="0" w:line="240" w:lineRule="auto"/>
              <w:contextualSpacing/>
              <w:jc w:val="both"/>
              <w:rPr>
                <w:rFonts w:ascii="Times New Roman" w:eastAsia="Times New Roman" w:hAnsi="Times New Roman"/>
                <w:sz w:val="24"/>
                <w:szCs w:val="24"/>
              </w:rPr>
            </w:pPr>
            <w:r w:rsidRPr="009D0B76">
              <w:rPr>
                <w:rFonts w:ascii="Times New Roman" w:eastAsia="Times New Roman" w:hAnsi="Times New Roman"/>
                <w:b/>
                <w:sz w:val="24"/>
                <w:szCs w:val="24"/>
              </w:rPr>
              <w:t>Минимале</w:t>
            </w:r>
            <w:r w:rsidRPr="009D0B76">
              <w:rPr>
                <w:rFonts w:ascii="Times New Roman" w:eastAsia="Times New Roman" w:hAnsi="Times New Roman"/>
                <w:b/>
                <w:sz w:val="24"/>
                <w:szCs w:val="24"/>
                <w:lang w:eastAsia="bg-BG"/>
              </w:rPr>
              <w:t>н размер</w:t>
            </w:r>
            <w:r w:rsidRPr="009D0B76">
              <w:rPr>
                <w:rFonts w:ascii="Times New Roman" w:eastAsia="Times New Roman" w:hAnsi="Times New Roman"/>
                <w:sz w:val="24"/>
                <w:szCs w:val="24"/>
                <w:lang w:eastAsia="bg-BG"/>
              </w:rPr>
              <w:t xml:space="preserve"> на общите допустими разходи за един проект</w:t>
            </w:r>
            <w:r w:rsidRPr="009D0B76">
              <w:rPr>
                <w:rFonts w:ascii="Times New Roman" w:eastAsia="Times New Roman" w:hAnsi="Times New Roman"/>
                <w:sz w:val="24"/>
                <w:szCs w:val="24"/>
              </w:rPr>
              <w:t xml:space="preserve"> :</w:t>
            </w:r>
            <w:r w:rsidRPr="009D0B76">
              <w:rPr>
                <w:rFonts w:ascii="Times New Roman" w:eastAsia="Times New Roman" w:hAnsi="Times New Roman"/>
                <w:sz w:val="24"/>
                <w:szCs w:val="24"/>
                <w:lang w:eastAsia="bg-BG"/>
              </w:rPr>
              <w:t xml:space="preserve"> 50 000 лева</w:t>
            </w:r>
            <w:r w:rsidRPr="009D0B76">
              <w:rPr>
                <w:rFonts w:ascii="Times New Roman" w:eastAsia="Times New Roman" w:hAnsi="Times New Roman"/>
                <w:sz w:val="24"/>
                <w:szCs w:val="24"/>
              </w:rPr>
              <w:t xml:space="preserve">      </w:t>
            </w:r>
          </w:p>
          <w:p w14:paraId="17FEB836" w14:textId="77777777" w:rsidR="0086070B" w:rsidRPr="009D0B76" w:rsidRDefault="0086070B" w:rsidP="009D0B76">
            <w:pPr>
              <w:spacing w:after="0" w:line="240" w:lineRule="auto"/>
              <w:contextualSpacing/>
              <w:jc w:val="both"/>
              <w:rPr>
                <w:rFonts w:ascii="Times New Roman" w:eastAsia="Times New Roman" w:hAnsi="Times New Roman"/>
                <w:sz w:val="24"/>
                <w:szCs w:val="24"/>
              </w:rPr>
            </w:pPr>
          </w:p>
          <w:p w14:paraId="21ED9CCD" w14:textId="77777777" w:rsidR="0086070B" w:rsidRPr="009D0B76" w:rsidRDefault="0086070B" w:rsidP="009D0B76">
            <w:pPr>
              <w:spacing w:after="0" w:line="240" w:lineRule="auto"/>
              <w:contextualSpacing/>
              <w:jc w:val="both"/>
              <w:rPr>
                <w:rFonts w:ascii="Times New Roman" w:eastAsia="Times New Roman" w:hAnsi="Times New Roman"/>
                <w:sz w:val="24"/>
                <w:szCs w:val="24"/>
                <w:lang w:eastAsia="bg-BG"/>
              </w:rPr>
            </w:pPr>
            <w:r w:rsidRPr="009D0B76">
              <w:rPr>
                <w:rFonts w:ascii="Times New Roman" w:eastAsia="Times New Roman" w:hAnsi="Times New Roman"/>
                <w:b/>
                <w:sz w:val="24"/>
                <w:szCs w:val="24"/>
                <w:lang w:eastAsia="bg-BG"/>
              </w:rPr>
              <w:t>Максимален размер</w:t>
            </w:r>
            <w:r w:rsidRPr="009D0B76">
              <w:rPr>
                <w:rFonts w:ascii="Times New Roman" w:eastAsia="Times New Roman" w:hAnsi="Times New Roman"/>
                <w:sz w:val="24"/>
                <w:szCs w:val="24"/>
                <w:lang w:eastAsia="bg-BG"/>
              </w:rPr>
              <w:t xml:space="preserve"> на общите допустими разходи за един проект:</w:t>
            </w:r>
          </w:p>
          <w:p w14:paraId="33A52C41" w14:textId="77777777" w:rsidR="0086070B" w:rsidRPr="009D0B76" w:rsidRDefault="0086070B" w:rsidP="009D0B76">
            <w:pPr>
              <w:numPr>
                <w:ilvl w:val="0"/>
                <w:numId w:val="30"/>
              </w:numPr>
              <w:spacing w:after="0" w:line="240" w:lineRule="auto"/>
              <w:contextualSpacing/>
              <w:jc w:val="both"/>
              <w:rPr>
                <w:rFonts w:ascii="Times New Roman" w:eastAsia="Times New Roman" w:hAnsi="Times New Roman"/>
                <w:sz w:val="24"/>
                <w:szCs w:val="24"/>
                <w:lang w:val="ru-RU" w:eastAsia="bg-BG"/>
              </w:rPr>
            </w:pPr>
            <w:r w:rsidRPr="009D0B76">
              <w:rPr>
                <w:rFonts w:ascii="Times New Roman" w:eastAsia="Times New Roman" w:hAnsi="Times New Roman"/>
                <w:sz w:val="24"/>
                <w:szCs w:val="24"/>
                <w:lang w:eastAsia="bg-BG"/>
              </w:rPr>
              <w:t>391 166.00 лв. за проекти на общини и ВиК оператори;</w:t>
            </w:r>
          </w:p>
          <w:p w14:paraId="629F93E6" w14:textId="77777777" w:rsidR="0086070B" w:rsidRPr="009D0B76" w:rsidRDefault="0086070B" w:rsidP="009D0B76">
            <w:pPr>
              <w:numPr>
                <w:ilvl w:val="0"/>
                <w:numId w:val="30"/>
              </w:numPr>
              <w:spacing w:after="0" w:line="240" w:lineRule="auto"/>
              <w:contextualSpacing/>
              <w:jc w:val="both"/>
              <w:rPr>
                <w:rFonts w:ascii="Times New Roman" w:eastAsia="Times New Roman" w:hAnsi="Times New Roman"/>
                <w:b/>
                <w:sz w:val="24"/>
                <w:szCs w:val="24"/>
                <w:lang w:val="ru-RU" w:eastAsia="bg-BG"/>
              </w:rPr>
            </w:pPr>
            <w:r w:rsidRPr="009D0B76">
              <w:rPr>
                <w:rFonts w:ascii="Times New Roman" w:eastAsia="Times New Roman" w:hAnsi="Times New Roman"/>
                <w:sz w:val="24"/>
                <w:szCs w:val="24"/>
                <w:lang w:eastAsia="bg-BG"/>
              </w:rPr>
              <w:t>150 000.00 лв. за проекти на читалища и неправителствени организации.</w:t>
            </w:r>
          </w:p>
          <w:p w14:paraId="1EF9DA0A" w14:textId="77777777" w:rsidR="0086070B" w:rsidRPr="009D0B76" w:rsidRDefault="0086070B" w:rsidP="009D0B76">
            <w:pPr>
              <w:spacing w:after="0" w:line="240" w:lineRule="auto"/>
              <w:ind w:left="720"/>
              <w:contextualSpacing/>
              <w:jc w:val="both"/>
              <w:rPr>
                <w:rFonts w:ascii="Times New Roman" w:eastAsia="Times New Roman" w:hAnsi="Times New Roman"/>
                <w:b/>
                <w:sz w:val="24"/>
                <w:szCs w:val="24"/>
                <w:lang w:val="ru-RU" w:eastAsia="bg-BG"/>
              </w:rPr>
            </w:pPr>
            <w:r w:rsidRPr="009D0B76">
              <w:rPr>
                <w:rFonts w:ascii="Times New Roman" w:eastAsia="Times New Roman" w:hAnsi="Times New Roman"/>
                <w:b/>
                <w:sz w:val="24"/>
                <w:szCs w:val="24"/>
                <w:lang w:val="ru-RU" w:eastAsia="bg-BG"/>
              </w:rPr>
              <w:t xml:space="preserve">      </w:t>
            </w:r>
          </w:p>
          <w:p w14:paraId="722E724B" w14:textId="77777777" w:rsidR="00DF058F" w:rsidRPr="009D0B76" w:rsidRDefault="00DF058F" w:rsidP="009D0B76">
            <w:pPr>
              <w:spacing w:after="0" w:line="276" w:lineRule="auto"/>
              <w:jc w:val="both"/>
              <w:rPr>
                <w:rFonts w:ascii="Times New Roman" w:eastAsiaTheme="minorHAnsi" w:hAnsi="Times New Roman"/>
                <w:b/>
                <w:sz w:val="24"/>
                <w:szCs w:val="24"/>
              </w:rPr>
            </w:pPr>
          </w:p>
        </w:tc>
      </w:tr>
      <w:tr w:rsidR="00DF058F" w:rsidRPr="009D0B76" w14:paraId="3F86E327" w14:textId="77777777" w:rsidTr="003E7EE4">
        <w:tc>
          <w:tcPr>
            <w:tcW w:w="3936" w:type="dxa"/>
            <w:tcBorders>
              <w:bottom w:val="single" w:sz="4" w:space="0" w:color="auto"/>
            </w:tcBorders>
            <w:shd w:val="clear" w:color="auto" w:fill="D9D9D9"/>
            <w:vAlign w:val="center"/>
          </w:tcPr>
          <w:p w14:paraId="093468C5" w14:textId="77777777" w:rsidR="00DF058F" w:rsidRPr="009D0B76" w:rsidRDefault="00DF058F"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lastRenderedPageBreak/>
              <w:t>Минимален размер на заявената безвъзмездна финансова помощ</w:t>
            </w:r>
          </w:p>
        </w:tc>
        <w:tc>
          <w:tcPr>
            <w:tcW w:w="5386" w:type="dxa"/>
            <w:tcBorders>
              <w:bottom w:val="single" w:sz="4" w:space="0" w:color="auto"/>
            </w:tcBorders>
            <w:shd w:val="clear" w:color="auto" w:fill="D9D9D9"/>
            <w:vAlign w:val="center"/>
          </w:tcPr>
          <w:p w14:paraId="3AA3F8A7" w14:textId="77777777" w:rsidR="00DF058F" w:rsidRPr="009D0B76" w:rsidRDefault="00DF058F"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 xml:space="preserve">Максимален размер на заявената безвъзмездна финансова помощ </w:t>
            </w:r>
            <w:r w:rsidR="00AE4777" w:rsidRPr="009D0B76">
              <w:rPr>
                <w:rFonts w:ascii="Times New Roman" w:eastAsiaTheme="minorHAnsi" w:hAnsi="Times New Roman"/>
                <w:b/>
                <w:sz w:val="24"/>
                <w:szCs w:val="24"/>
              </w:rPr>
              <w:t>за общини и ВиК оператори</w:t>
            </w:r>
          </w:p>
        </w:tc>
      </w:tr>
      <w:tr w:rsidR="00DF058F" w:rsidRPr="009D0B76" w14:paraId="1C530106" w14:textId="77777777" w:rsidTr="003E7EE4">
        <w:trPr>
          <w:trHeight w:val="768"/>
        </w:trPr>
        <w:tc>
          <w:tcPr>
            <w:tcW w:w="3936" w:type="dxa"/>
            <w:shd w:val="clear" w:color="auto" w:fill="auto"/>
          </w:tcPr>
          <w:p w14:paraId="34C529C2" w14:textId="77777777" w:rsidR="00DF058F" w:rsidRPr="009D0B76" w:rsidRDefault="00DF058F" w:rsidP="009D0B76">
            <w:pPr>
              <w:spacing w:after="0" w:line="276" w:lineRule="auto"/>
              <w:jc w:val="both"/>
              <w:rPr>
                <w:rFonts w:ascii="Times New Roman" w:eastAsiaTheme="minorHAnsi" w:hAnsi="Times New Roman"/>
                <w:b/>
                <w:sz w:val="24"/>
                <w:szCs w:val="24"/>
              </w:rPr>
            </w:pPr>
          </w:p>
          <w:p w14:paraId="0ADFC21C" w14:textId="77777777" w:rsidR="00DF058F" w:rsidRPr="009D0B76" w:rsidRDefault="00AE4777"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50 000.00</w:t>
            </w:r>
            <w:r w:rsidR="00DF058F" w:rsidRPr="009D0B76">
              <w:rPr>
                <w:rFonts w:ascii="Times New Roman" w:eastAsiaTheme="minorHAnsi" w:hAnsi="Times New Roman"/>
                <w:b/>
                <w:sz w:val="24"/>
                <w:szCs w:val="24"/>
              </w:rPr>
              <w:t xml:space="preserve"> лева</w:t>
            </w:r>
          </w:p>
        </w:tc>
        <w:tc>
          <w:tcPr>
            <w:tcW w:w="5386" w:type="dxa"/>
            <w:shd w:val="clear" w:color="auto" w:fill="auto"/>
          </w:tcPr>
          <w:p w14:paraId="45265C5A" w14:textId="77777777" w:rsidR="00DF058F" w:rsidRPr="009D0B76" w:rsidRDefault="00DF058F" w:rsidP="009D0B76">
            <w:pPr>
              <w:spacing w:after="0" w:line="276" w:lineRule="auto"/>
              <w:jc w:val="both"/>
              <w:rPr>
                <w:rFonts w:ascii="Times New Roman" w:eastAsiaTheme="minorHAnsi" w:hAnsi="Times New Roman"/>
                <w:b/>
                <w:sz w:val="24"/>
                <w:szCs w:val="24"/>
              </w:rPr>
            </w:pPr>
          </w:p>
          <w:p w14:paraId="6BB1BAAA" w14:textId="77777777" w:rsidR="00DF058F" w:rsidRPr="009D0B76" w:rsidRDefault="00AE4777"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391 166</w:t>
            </w:r>
            <w:r w:rsidR="00DF058F" w:rsidRPr="009D0B76">
              <w:rPr>
                <w:rFonts w:ascii="Times New Roman" w:eastAsiaTheme="minorHAnsi" w:hAnsi="Times New Roman"/>
                <w:b/>
                <w:sz w:val="24"/>
                <w:szCs w:val="24"/>
              </w:rPr>
              <w:t>.00 лева</w:t>
            </w:r>
          </w:p>
        </w:tc>
      </w:tr>
      <w:tr w:rsidR="00AE4777" w:rsidRPr="009D0B76" w14:paraId="35A753B1" w14:textId="77777777" w:rsidTr="003E7EE4">
        <w:trPr>
          <w:trHeight w:val="768"/>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75B00FF" w14:textId="77777777" w:rsidR="00AE4777" w:rsidRPr="009D0B76" w:rsidRDefault="00AE4777"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Минимален размер на заявената безвъзмездна финансова помощ</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9420ADB" w14:textId="77777777" w:rsidR="00AE4777" w:rsidRPr="009D0B76" w:rsidRDefault="00AE4777"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Максимален размер на заявената безвъзмездна финансова помощ за читалища и неправителствени организации</w:t>
            </w:r>
          </w:p>
        </w:tc>
      </w:tr>
      <w:tr w:rsidR="00AE4777" w:rsidRPr="009D0B76" w14:paraId="173DE278" w14:textId="77777777" w:rsidTr="003E7EE4">
        <w:trPr>
          <w:trHeight w:val="768"/>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F4288DC" w14:textId="77777777" w:rsidR="00AE4777" w:rsidRPr="009D0B76" w:rsidRDefault="00AE4777" w:rsidP="009D0B76">
            <w:pPr>
              <w:spacing w:after="0" w:line="276" w:lineRule="auto"/>
              <w:jc w:val="both"/>
              <w:rPr>
                <w:rFonts w:ascii="Times New Roman" w:eastAsiaTheme="minorHAnsi" w:hAnsi="Times New Roman"/>
                <w:b/>
                <w:sz w:val="24"/>
                <w:szCs w:val="24"/>
              </w:rPr>
            </w:pPr>
          </w:p>
          <w:p w14:paraId="66895EC6" w14:textId="77777777" w:rsidR="00AE4777" w:rsidRPr="009D0B76" w:rsidRDefault="00AE4777"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50 000.00 лева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F05BFB3" w14:textId="77777777" w:rsidR="00AE4777" w:rsidRPr="009D0B76" w:rsidRDefault="00AE4777" w:rsidP="009D0B76">
            <w:pPr>
              <w:spacing w:after="0" w:line="276" w:lineRule="auto"/>
              <w:jc w:val="both"/>
              <w:rPr>
                <w:rFonts w:ascii="Times New Roman" w:eastAsiaTheme="minorHAnsi" w:hAnsi="Times New Roman"/>
                <w:b/>
                <w:sz w:val="24"/>
                <w:szCs w:val="24"/>
              </w:rPr>
            </w:pPr>
          </w:p>
          <w:p w14:paraId="5A9813D6" w14:textId="77777777" w:rsidR="00AE4777" w:rsidRPr="009D0B76" w:rsidRDefault="00AE4777"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150 000.00 лева</w:t>
            </w:r>
          </w:p>
        </w:tc>
      </w:tr>
    </w:tbl>
    <w:p w14:paraId="3C25D462" w14:textId="77777777" w:rsidR="003E7EE4" w:rsidRPr="009D0B76" w:rsidRDefault="003E7EE4" w:rsidP="009D0B76">
      <w:pPr>
        <w:spacing w:after="0" w:line="276" w:lineRule="auto"/>
        <w:jc w:val="both"/>
        <w:rPr>
          <w:rFonts w:ascii="Times New Roman" w:eastAsiaTheme="minorHAnsi" w:hAnsi="Times New Roman"/>
          <w:b/>
          <w:color w:val="5B9BD5" w:themeColor="accent1"/>
          <w:sz w:val="24"/>
          <w:szCs w:val="24"/>
        </w:rPr>
      </w:pPr>
    </w:p>
    <w:p w14:paraId="125195B0" w14:textId="77777777" w:rsidR="00FE342B" w:rsidRPr="009D0B76" w:rsidRDefault="00D0523D"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color w:val="5B9BD5" w:themeColor="accent1"/>
          <w:sz w:val="24"/>
          <w:szCs w:val="24"/>
        </w:rPr>
        <w:t>10. Процент на съфинансиране</w:t>
      </w:r>
    </w:p>
    <w:p w14:paraId="5EE82B7F" w14:textId="77777777" w:rsidR="00DE24EF" w:rsidRPr="009D0B76" w:rsidRDefault="003E7EE4" w:rsidP="009D0B76">
      <w:pPr>
        <w:pBdr>
          <w:top w:val="single" w:sz="4" w:space="1" w:color="auto"/>
          <w:left w:val="single" w:sz="4" w:space="4" w:color="auto"/>
          <w:bottom w:val="single" w:sz="4" w:space="1" w:color="auto"/>
          <w:right w:val="single" w:sz="4" w:space="7"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1) Финансовата помощ е в размер на </w:t>
      </w:r>
      <w:r w:rsidR="00FE342B" w:rsidRPr="009D0B76">
        <w:rPr>
          <w:rFonts w:ascii="Times New Roman" w:eastAsiaTheme="minorHAnsi" w:hAnsi="Times New Roman"/>
          <w:sz w:val="24"/>
          <w:szCs w:val="24"/>
        </w:rPr>
        <w:t xml:space="preserve">100 % от </w:t>
      </w:r>
      <w:r w:rsidRPr="009D0B76">
        <w:rPr>
          <w:rFonts w:ascii="Times New Roman" w:eastAsiaTheme="minorHAnsi" w:hAnsi="Times New Roman"/>
          <w:sz w:val="24"/>
          <w:szCs w:val="24"/>
        </w:rPr>
        <w:t xml:space="preserve">общия размер на допустимите за </w:t>
      </w:r>
      <w:r w:rsidR="00FE342B" w:rsidRPr="009D0B76">
        <w:rPr>
          <w:rFonts w:ascii="Times New Roman" w:eastAsiaTheme="minorHAnsi" w:hAnsi="Times New Roman"/>
          <w:sz w:val="24"/>
          <w:szCs w:val="24"/>
        </w:rPr>
        <w:t>допустимите</w:t>
      </w:r>
      <w:r w:rsidRPr="009D0B76">
        <w:rPr>
          <w:rFonts w:ascii="Times New Roman" w:eastAsiaTheme="minorHAnsi" w:hAnsi="Times New Roman"/>
          <w:sz w:val="24"/>
          <w:szCs w:val="24"/>
        </w:rPr>
        <w:t xml:space="preserve"> за финансово подпомагане разходи за проекти, които след извършване на инвестицията не генерират нетни приходи. 2) Финансовата помощ е в размер 100 % от общия размер на допустимите за финансово подпомагане разходи за проекти, които след извършване на инвестицията ще генерират нетни приходи, но размерът на допустимите за финансово подпомагане разходи за проекта не надх</w:t>
      </w:r>
      <w:r w:rsidR="0011409A" w:rsidRPr="009D0B76">
        <w:rPr>
          <w:rFonts w:ascii="Times New Roman" w:eastAsiaTheme="minorHAnsi" w:hAnsi="Times New Roman"/>
          <w:sz w:val="24"/>
          <w:szCs w:val="24"/>
        </w:rPr>
        <w:t>в</w:t>
      </w:r>
      <w:r w:rsidRPr="009D0B76">
        <w:rPr>
          <w:rFonts w:ascii="Times New Roman" w:eastAsiaTheme="minorHAnsi" w:hAnsi="Times New Roman"/>
          <w:sz w:val="24"/>
          <w:szCs w:val="24"/>
        </w:rPr>
        <w:t xml:space="preserve">ърля левовата равностойност на 50 000 евро. 3) Размерът на финансовата помощ за проекти, които след извършване на инвестицията ще генерират нетни приходи се определя въз </w:t>
      </w:r>
      <w:r w:rsidR="0011409A" w:rsidRPr="009D0B76">
        <w:rPr>
          <w:rFonts w:ascii="Times New Roman" w:eastAsiaTheme="minorHAnsi" w:hAnsi="Times New Roman"/>
          <w:sz w:val="24"/>
          <w:szCs w:val="24"/>
        </w:rPr>
        <w:t>основа</w:t>
      </w:r>
      <w:r w:rsidRPr="009D0B76">
        <w:rPr>
          <w:rFonts w:ascii="Times New Roman" w:eastAsiaTheme="minorHAnsi" w:hAnsi="Times New Roman"/>
          <w:sz w:val="24"/>
          <w:szCs w:val="24"/>
        </w:rPr>
        <w:t xml:space="preserve"> на анализ „разходи-ползи”.</w:t>
      </w:r>
    </w:p>
    <w:p w14:paraId="0BD98793" w14:textId="77777777" w:rsidR="00DB4551" w:rsidRPr="009D0B76" w:rsidRDefault="00DB4551" w:rsidP="009D0B76">
      <w:pPr>
        <w:pBdr>
          <w:top w:val="single" w:sz="4" w:space="1" w:color="auto"/>
          <w:left w:val="single" w:sz="4" w:space="4" w:color="auto"/>
          <w:bottom w:val="single" w:sz="4" w:space="1" w:color="auto"/>
          <w:right w:val="single" w:sz="4" w:space="7" w:color="auto"/>
        </w:pBd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Разликата между пълния размер на допустимите за финансово подпомагане разходи и размера на финансовата помощ определен въз основа на анализ „разходи-ползи” по т.3 се осигурява от кандидата, като участието на кандидата може да бъде само в парична форма.</w:t>
      </w:r>
    </w:p>
    <w:p w14:paraId="3332BD1D" w14:textId="77777777" w:rsidR="00F83963" w:rsidRPr="009D0B76" w:rsidRDefault="00F83963" w:rsidP="009D0B76">
      <w:pPr>
        <w:spacing w:after="0" w:line="276" w:lineRule="auto"/>
        <w:jc w:val="both"/>
        <w:rPr>
          <w:rFonts w:ascii="Times New Roman" w:eastAsiaTheme="minorHAnsi" w:hAnsi="Times New Roman"/>
          <w:b/>
          <w:sz w:val="24"/>
          <w:szCs w:val="24"/>
        </w:rPr>
      </w:pPr>
    </w:p>
    <w:p w14:paraId="3C8DC98B" w14:textId="77777777" w:rsidR="00E32F80" w:rsidRDefault="00E32F80" w:rsidP="009D0B76">
      <w:pPr>
        <w:spacing w:after="0" w:line="276" w:lineRule="auto"/>
        <w:jc w:val="both"/>
        <w:rPr>
          <w:rFonts w:ascii="Times New Roman" w:eastAsiaTheme="minorHAnsi" w:hAnsi="Times New Roman"/>
          <w:b/>
          <w:color w:val="5B9BD5" w:themeColor="accent1"/>
          <w:sz w:val="24"/>
          <w:szCs w:val="24"/>
        </w:rPr>
      </w:pPr>
    </w:p>
    <w:p w14:paraId="2679A254" w14:textId="77777777" w:rsidR="00F83963" w:rsidRPr="009D0B76" w:rsidRDefault="00F83963"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color w:val="5B9BD5" w:themeColor="accent1"/>
          <w:sz w:val="24"/>
          <w:szCs w:val="24"/>
        </w:rPr>
        <w:lastRenderedPageBreak/>
        <w:t xml:space="preserve">11.Допустими </w:t>
      </w:r>
      <w:r w:rsidR="00635825" w:rsidRPr="009D0B76">
        <w:rPr>
          <w:rFonts w:ascii="Times New Roman" w:eastAsiaTheme="minorHAnsi" w:hAnsi="Times New Roman"/>
          <w:b/>
          <w:color w:val="5B9BD5" w:themeColor="accent1"/>
          <w:sz w:val="24"/>
          <w:szCs w:val="24"/>
        </w:rPr>
        <w:t xml:space="preserve">и недопустими </w:t>
      </w:r>
      <w:r w:rsidRPr="009D0B76">
        <w:rPr>
          <w:rFonts w:ascii="Times New Roman" w:eastAsiaTheme="minorHAnsi" w:hAnsi="Times New Roman"/>
          <w:b/>
          <w:color w:val="5B9BD5" w:themeColor="accent1"/>
          <w:sz w:val="24"/>
          <w:szCs w:val="24"/>
        </w:rPr>
        <w:t>кандидати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DE24EF" w:rsidRPr="009D0B76" w14:paraId="78A875E1" w14:textId="77777777" w:rsidTr="003E7EE4">
        <w:tc>
          <w:tcPr>
            <w:tcW w:w="10760" w:type="dxa"/>
            <w:shd w:val="clear" w:color="auto" w:fill="auto"/>
          </w:tcPr>
          <w:p w14:paraId="23553946" w14:textId="77777777" w:rsidR="00DE24EF" w:rsidRPr="009D0B76" w:rsidRDefault="00635825"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b/>
                <w:sz w:val="24"/>
                <w:szCs w:val="24"/>
              </w:rPr>
              <w:t>Допустимите типове бенефициенти са:</w:t>
            </w:r>
            <w:r w:rsidRPr="009D0B76">
              <w:rPr>
                <w:rFonts w:ascii="Times New Roman" w:eastAsiaTheme="minorHAnsi" w:hAnsi="Times New Roman"/>
                <w:sz w:val="24"/>
                <w:szCs w:val="24"/>
              </w:rPr>
              <w:t xml:space="preserve"> </w:t>
            </w:r>
            <w:r w:rsidR="003819AD" w:rsidRPr="009D0B76">
              <w:rPr>
                <w:rFonts w:ascii="Times New Roman" w:eastAsiaTheme="minorHAnsi" w:hAnsi="Times New Roman"/>
                <w:sz w:val="24"/>
                <w:szCs w:val="24"/>
              </w:rPr>
              <w:t>1) Общините на територията на МИГ „Костинброд - Своге“ – за всички дейности, при условия, че: 1.1) се изпълняват в съответствие с общинския план за развитие на съответната община и да са съгласувани със Стратегията за местно развитие; 1.2) дейности за строителство, реконструкция и/или рехабилитация на нови и съществуващи улици, тротоари и съоръжения, и принадлежностите към тях са допустими, ако са изградени или реконструирани ВиК системите или не се предвижда да се изграждат или реконструират ВиК системи за период от седем години от датата на кандидатстване; 2) ВиК оператори за дейности, свързани с изграждане, реконструкция и/или рехабилитация на водоснабдителни системи и съоръжения в агломерации с под 2 000 е. ж. в селските райони; 3) Юридически лица с нестопанска цел (ЮЛНЦ), регистрирани по Закона за юридическите лица с нестопанска цел за дейности, свързани със социалната и спортната инфраструктура, и културния живот, които имат седалище и адрес на управление на територията на действие на МИГ и осъществява дейностите по проект на територията на действие на МИГ. 4) Читалища, регистрирани по Закона за народните читалища за дейности, свързани с културния живот. Кандидатите за финансова помощ трябва да отговарят на изискванията към бенефициентите, описани в Общите условия по мерките от Стратегията за ВОМР на МИГ „Костинброд - Своге“, финансира</w:t>
            </w:r>
            <w:r w:rsidR="00CA1256" w:rsidRPr="009D0B76">
              <w:rPr>
                <w:rFonts w:ascii="Times New Roman" w:eastAsiaTheme="minorHAnsi" w:hAnsi="Times New Roman"/>
                <w:sz w:val="24"/>
                <w:szCs w:val="24"/>
              </w:rPr>
              <w:t>ни от ПРСР 2014 – 2020 (ЕЗФРСР), а именно:</w:t>
            </w:r>
          </w:p>
          <w:p w14:paraId="1782F438" w14:textId="77777777" w:rsidR="00CA1256" w:rsidRPr="009D0B76" w:rsidRDefault="00CA1256"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1. Получателят на финансовата помощ трябва да има постоянен адрес- за физическите лица, и седалище и адрес на управление- за еднолични търговци и юридическите лица, на територията на действие на МИГ „Костинброд-Своге“ и да осъществява дейностите по проекта на територията на действие на МИГ.</w:t>
            </w:r>
          </w:p>
          <w:p w14:paraId="15DFCE41" w14:textId="77777777" w:rsidR="00CA1256" w:rsidRPr="009D0B76" w:rsidRDefault="00CA1256"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2. Не са допустими за подпомагане текущи разходи. Разходите са допустими, ако са извършени след подаване на заявлението за подпомагане, с изключение на общите разходи.</w:t>
            </w:r>
          </w:p>
          <w:p w14:paraId="45F85926" w14:textId="77777777" w:rsidR="00CA1256" w:rsidRPr="009D0B76" w:rsidRDefault="00CA1256"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3. Всички, проекти, представени по настоящата мярка следва да са придружени с анализ на икономическите и социални ползи (вкл. анализ разходи-ползи).</w:t>
            </w:r>
          </w:p>
          <w:p w14:paraId="6380CFDC" w14:textId="77777777" w:rsidR="00635825" w:rsidRPr="009D0B76" w:rsidRDefault="00635825" w:rsidP="009D0B76">
            <w:pPr>
              <w:widowControl w:val="0"/>
              <w:autoSpaceDE w:val="0"/>
              <w:autoSpaceDN w:val="0"/>
              <w:adjustRightInd w:val="0"/>
              <w:spacing w:after="0" w:line="240" w:lineRule="auto"/>
              <w:jc w:val="both"/>
              <w:rPr>
                <w:rFonts w:ascii="Times New Roman" w:hAnsi="Times New Roman"/>
                <w:sz w:val="24"/>
                <w:szCs w:val="24"/>
              </w:rPr>
            </w:pPr>
            <w:r w:rsidRPr="009D0B76">
              <w:rPr>
                <w:rFonts w:ascii="Times New Roman" w:hAnsi="Times New Roman"/>
                <w:b/>
                <w:sz w:val="24"/>
                <w:szCs w:val="24"/>
              </w:rPr>
              <w:t>Не е допустим кандидат/получател на помощ и/или негов законен или упълномощен представител,</w:t>
            </w:r>
            <w:r w:rsidRPr="009D0B76">
              <w:rPr>
                <w:rFonts w:ascii="Times New Roman" w:hAnsi="Times New Roman"/>
                <w:sz w:val="24"/>
                <w:szCs w:val="24"/>
              </w:rPr>
              <w:t xml:space="preserve"> който не отговаря на следните условия за проекти, финансирани по ЕЗФРСР: </w:t>
            </w:r>
          </w:p>
          <w:p w14:paraId="5FB30895"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1. не е обявен в несъстоятелност или е в производство по несъстоятелност, или е </w:t>
            </w:r>
            <w:r w:rsidRPr="009D0B76">
              <w:rPr>
                <w:rFonts w:ascii="Times New Roman" w:hAnsi="Times New Roman"/>
                <w:sz w:val="24"/>
                <w:szCs w:val="24"/>
              </w:rPr>
              <w:lastRenderedPageBreak/>
              <w:t>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изискването не се прилага, когато член на колективния управителен орган и/или на контролния орган на МИГ е физическо лице, което не е търговец или е община;</w:t>
            </w:r>
          </w:p>
          <w:p w14:paraId="725D17EA"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786B5966"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2.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 видът и размерът на задълженията следва да са установени с влязъл в сила акт на компетентен орган;</w:t>
            </w:r>
          </w:p>
          <w:p w14:paraId="4951A5C0"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5C508ECA"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3. не е лишен от правото да упражнява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14:paraId="1982C5A2"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48E4A10E"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4. не е предоставил документ с невярно съдържание или не е представил изискваща се информация, свързана с удостоверяване липсата на основания за отказ за финансиране, критериите за подбор или изпълнението на договор, установени с влязъл в сила акт на компетентен орган, съгласно законодателството на държавата, в която е извършено нарушението;</w:t>
            </w:r>
          </w:p>
          <w:p w14:paraId="060381B0"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4F92EA1E"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5. не е сключил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14:paraId="522C6F0B"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0DACD34A"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6. не е нарушил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14:paraId="3A326CA4"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3B7E903E"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7. не е опитал,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14:paraId="01706B00"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50C5959F"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а) да повлияе на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Държавен фонд "Земеделие" (ДФЗ), свързано с одобрението за </w:t>
            </w:r>
            <w:r w:rsidRPr="009D0B76">
              <w:rPr>
                <w:rFonts w:ascii="Times New Roman" w:hAnsi="Times New Roman"/>
                <w:sz w:val="24"/>
                <w:szCs w:val="24"/>
              </w:rPr>
              <w:lastRenderedPageBreak/>
              <w:t>получаване на финансова помощ, чрез предоставяне на невярна или заблуждаваща информация;</w:t>
            </w:r>
          </w:p>
          <w:p w14:paraId="4709DE90"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60AC0B88"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б) да получи информация от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ДФЗ, която може да му даде неоснователно предимство, свързано с одобрението за получаване на финансова помощ; </w:t>
            </w:r>
          </w:p>
          <w:p w14:paraId="43435CB6"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0A489912"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8. не е установено с влязло в сила наказателно постановление или съдебно решение, че е нарушил чл. 118, 128, 245 и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1E25110C"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0F0BB41B"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9. не е доказано, че е виновен за неизпълнение на договор за предоставяне на финансова помощ от Европейските инвестиционни и структурни фондове,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14:paraId="4F0932DE"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2EF15E4B"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10. не са констатирани при проверка, одит или разследване, проведено от разпоредител с бюджет, Европейската служба за борба с измамите или Европейската сметна палата, значителни недостатъци при спазването на основните задължения по изпълнение на договор за предоставяне на финансова помощ от Европейските инвестиционни и структурни фондове, на договор за обществена поръчка, на договор за концесия за строителство или за услуга, което е довело до предсрочното им прекратяване, изплащане на обезщетения или други подобни санкции;</w:t>
            </w:r>
          </w:p>
          <w:p w14:paraId="7CBB2F72"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34181E34"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11. не е извършил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14:paraId="1C4B790D"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166F9821"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12. няма изискуеми и ликвидни задължения към ДФЗ;</w:t>
            </w:r>
          </w:p>
          <w:p w14:paraId="522BEA80"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79D01965"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13. не е включен в системата за ранно откриване на отстраняване по чл. 108 от Регламент (ЕС, Евратом) № 966/2012 на Европейския парламент и на Съвета от 25 октомври 2012 г. относно финансовите правила, приложими за общия бюджет на </w:t>
            </w:r>
            <w:r w:rsidRPr="009D0B76">
              <w:rPr>
                <w:rFonts w:ascii="Times New Roman" w:hAnsi="Times New Roman"/>
                <w:sz w:val="24"/>
                <w:szCs w:val="24"/>
              </w:rPr>
              <w:lastRenderedPageBreak/>
              <w:t>Съюза и за отмяна на Регламент (ЕО, Евратом) № 1605/2002 на Съвета (обн., ОВ, L 298/1 от 26 октомври 2012 г.), наричан по-нататък "Регламент (ЕС, Евратом) № 966/2012";</w:t>
            </w:r>
          </w:p>
          <w:p w14:paraId="3F6B4348" w14:textId="77777777" w:rsidR="00635825" w:rsidRPr="009D0B76" w:rsidRDefault="00635825" w:rsidP="009D0B76">
            <w:pPr>
              <w:widowControl w:val="0"/>
              <w:autoSpaceDE w:val="0"/>
              <w:autoSpaceDN w:val="0"/>
              <w:adjustRightInd w:val="0"/>
              <w:spacing w:after="0" w:line="240" w:lineRule="auto"/>
              <w:jc w:val="both"/>
              <w:rPr>
                <w:rFonts w:ascii="Times New Roman" w:hAnsi="Times New Roman"/>
                <w:sz w:val="24"/>
                <w:szCs w:val="24"/>
              </w:rPr>
            </w:pPr>
          </w:p>
          <w:p w14:paraId="11010A49"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14. не е свързано лице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Европейските структурни и инвестиционни фондове, включен в стратегията за ВОМР или в ДФЗ;</w:t>
            </w:r>
          </w:p>
          <w:p w14:paraId="6FF43FEC"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084543CA"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15. не е лице, което е на трудово или служебно правоотношение в ДФЗ или УО на някоя от програмите, отговорни за управление на Европейските структурни и инвестиционни фондове, включен в стратегията за ВОМР до една година от прекратяване на правоотношението;</w:t>
            </w:r>
          </w:p>
          <w:p w14:paraId="64464405"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76AC5106"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16. не е осъден с влязла в сила присъда, освен ако е реабилитиран, за: </w:t>
            </w:r>
          </w:p>
          <w:p w14:paraId="4BAD51E2"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532B2AEF"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а) участие в организирана престъпна група по чл. 321 и 321а от Наказателния кодекс; </w:t>
            </w:r>
          </w:p>
          <w:p w14:paraId="3A1AF8E1"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37CA925A"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б) подкуп по чл. 301 – 307 от Наказателния кодекс; </w:t>
            </w:r>
          </w:p>
          <w:p w14:paraId="715D4C87"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234DBBF9"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в) престъпление против финансовата, данъчната или осигурителната система, включително изпиране на пари, по чл. 253 – 260 от Наказателния кодекс; </w:t>
            </w:r>
          </w:p>
          <w:p w14:paraId="78310CB4"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0CC16003"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г) престъпление против стопанството по чл. 219 – 252 от Наказателния кодекс; </w:t>
            </w:r>
          </w:p>
          <w:p w14:paraId="718D0810"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4A7B37C3"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д) престъпление против собствеността по чл. 194 – 217 от Наказателния кодекс; </w:t>
            </w:r>
          </w:p>
          <w:p w14:paraId="741707AF"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328EA83B"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е) престъпление по чл. 108а от Наказателния кодекс; </w:t>
            </w:r>
          </w:p>
          <w:p w14:paraId="25D8A964"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03E71F86"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ж) престъпление по чл. 159а – 159г от Наказателния кодекс; </w:t>
            </w:r>
          </w:p>
          <w:p w14:paraId="54B10203"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25A71EFC"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з) престъпление по чл. 172 от Наказателния кодекс;</w:t>
            </w:r>
          </w:p>
          <w:p w14:paraId="175C609F"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4DF37AA5"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и) престъпление по чл. 192а от Наказателния кодекс;</w:t>
            </w:r>
          </w:p>
          <w:p w14:paraId="10B4DF57"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05E8C674"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lastRenderedPageBreak/>
              <w:t xml:space="preserve"> й) престъпление по чл. 352 – 353е от Наказателния кодекс;</w:t>
            </w:r>
          </w:p>
          <w:p w14:paraId="4E120C4F"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256F0712"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к) престъпление, аналогично на тези по букви "а" до "й", в друга държава членка или трета страна;</w:t>
            </w:r>
          </w:p>
          <w:p w14:paraId="2F6F053F"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p>
          <w:p w14:paraId="51291535" w14:textId="77777777" w:rsidR="00635825" w:rsidRPr="009D0B76"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17.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14:paraId="301F6B7F" w14:textId="77777777" w:rsidR="00635825" w:rsidRDefault="00635825" w:rsidP="009D0B76">
            <w:pPr>
              <w:widowControl w:val="0"/>
              <w:autoSpaceDE w:val="0"/>
              <w:autoSpaceDN w:val="0"/>
              <w:adjustRightInd w:val="0"/>
              <w:spacing w:after="0" w:line="240" w:lineRule="auto"/>
              <w:ind w:firstLine="480"/>
              <w:jc w:val="both"/>
              <w:rPr>
                <w:rFonts w:ascii="Times New Roman" w:hAnsi="Times New Roman"/>
                <w:sz w:val="24"/>
                <w:szCs w:val="24"/>
              </w:rPr>
            </w:pPr>
            <w:r w:rsidRPr="009D0B76">
              <w:rPr>
                <w:rFonts w:ascii="Times New Roman" w:hAnsi="Times New Roman"/>
                <w:sz w:val="24"/>
                <w:szCs w:val="24"/>
              </w:rPr>
              <w:t xml:space="preserve"> 18. не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14:paraId="406BA76D" w14:textId="77777777" w:rsidR="00D16CA2" w:rsidRDefault="00D16CA2" w:rsidP="009D0B76">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19. не е свързано лице по смисъла на § 1, от допълнителните разпоредби на Търговския закон с представляващ по закон и/или пълномощие, с член на управителния или контролния орган на местната инициативна група или с кмета на съответната община на територията на МИГ.</w:t>
            </w:r>
          </w:p>
          <w:p w14:paraId="7D02D497" w14:textId="77777777" w:rsidR="00D16CA2" w:rsidRDefault="00D16CA2" w:rsidP="009D0B76">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20. не е лице, член на колективния управителен орган или на контролния орган на МИГ и не е свързано лице с член на колективния управителен</w:t>
            </w:r>
            <w:r w:rsidR="00F558D6">
              <w:rPr>
                <w:rFonts w:ascii="Times New Roman" w:hAnsi="Times New Roman"/>
                <w:sz w:val="24"/>
                <w:szCs w:val="24"/>
              </w:rPr>
              <w:t xml:space="preserve"> орган или на контролния орган на МИГ по смисъла на § 1 от допълнителните разпоредби на Търговския закон.</w:t>
            </w:r>
          </w:p>
          <w:p w14:paraId="70A29672" w14:textId="77777777" w:rsidR="00F558D6" w:rsidRDefault="00F558D6" w:rsidP="009D0B76">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21. не е свързано лице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14:paraId="28727B57" w14:textId="77777777" w:rsidR="00D73B9A" w:rsidRDefault="00D73B9A" w:rsidP="009D0B76">
            <w:pPr>
              <w:widowControl w:val="0"/>
              <w:autoSpaceDE w:val="0"/>
              <w:autoSpaceDN w:val="0"/>
              <w:adjustRightInd w:val="0"/>
              <w:spacing w:after="0" w:line="240" w:lineRule="auto"/>
              <w:ind w:firstLine="480"/>
              <w:jc w:val="both"/>
              <w:rPr>
                <w:rFonts w:ascii="Times New Roman" w:hAnsi="Times New Roman"/>
                <w:sz w:val="24"/>
                <w:szCs w:val="24"/>
              </w:rPr>
            </w:pPr>
          </w:p>
          <w:p w14:paraId="4AF2900C" w14:textId="77777777" w:rsidR="00F558D6" w:rsidRPr="009D0B76" w:rsidRDefault="00F558D6" w:rsidP="009D0B76">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т. 19, т.20 и т.21 се отнасят за кандидати, които не са публични органи.</w:t>
            </w:r>
          </w:p>
          <w:p w14:paraId="568CF539" w14:textId="77777777" w:rsidR="00CA1256" w:rsidRPr="009D0B76" w:rsidRDefault="00CA1256" w:rsidP="009D0B76">
            <w:pPr>
              <w:widowControl w:val="0"/>
              <w:autoSpaceDE w:val="0"/>
              <w:autoSpaceDN w:val="0"/>
              <w:adjustRightInd w:val="0"/>
              <w:spacing w:after="0" w:line="240" w:lineRule="auto"/>
              <w:ind w:firstLine="480"/>
              <w:jc w:val="both"/>
              <w:rPr>
                <w:rFonts w:ascii="Times New Roman" w:eastAsiaTheme="minorHAnsi" w:hAnsi="Times New Roman"/>
                <w:sz w:val="24"/>
                <w:szCs w:val="24"/>
              </w:rPr>
            </w:pPr>
          </w:p>
        </w:tc>
      </w:tr>
    </w:tbl>
    <w:p w14:paraId="71BF2156" w14:textId="77777777" w:rsidR="002D7B10" w:rsidRPr="009D0B76" w:rsidRDefault="002D7B10" w:rsidP="009D0B76">
      <w:pPr>
        <w:spacing w:after="0" w:line="276" w:lineRule="auto"/>
        <w:jc w:val="both"/>
        <w:rPr>
          <w:rFonts w:ascii="Times New Roman" w:eastAsiaTheme="minorHAnsi" w:hAnsi="Times New Roman"/>
          <w:b/>
          <w:color w:val="5B9BD5" w:themeColor="accent1"/>
          <w:sz w:val="24"/>
          <w:szCs w:val="24"/>
        </w:rPr>
      </w:pPr>
    </w:p>
    <w:p w14:paraId="4C6ECFF6" w14:textId="77777777" w:rsidR="00635825" w:rsidRPr="009D0B76" w:rsidRDefault="00635825" w:rsidP="009D0B76">
      <w:pPr>
        <w:spacing w:after="0" w:line="276" w:lineRule="auto"/>
        <w:jc w:val="both"/>
        <w:rPr>
          <w:rFonts w:ascii="Times New Roman" w:eastAsiaTheme="minorHAnsi" w:hAnsi="Times New Roman"/>
          <w:b/>
          <w:color w:val="5B9BD5" w:themeColor="accent1"/>
          <w:sz w:val="24"/>
          <w:szCs w:val="24"/>
        </w:rPr>
      </w:pPr>
    </w:p>
    <w:p w14:paraId="522CE39D" w14:textId="77777777" w:rsidR="002D7B10" w:rsidRPr="009D0B76" w:rsidRDefault="006811BC" w:rsidP="009D0B76">
      <w:pPr>
        <w:spacing w:after="0" w:line="276" w:lineRule="auto"/>
        <w:jc w:val="both"/>
        <w:rPr>
          <w:rFonts w:ascii="Times New Roman" w:eastAsiaTheme="minorHAnsi" w:hAnsi="Times New Roman"/>
          <w:b/>
          <w:color w:val="5B9BD5" w:themeColor="accent1"/>
          <w:sz w:val="24"/>
          <w:szCs w:val="24"/>
        </w:rPr>
      </w:pPr>
      <w:r w:rsidRPr="009D0B76">
        <w:rPr>
          <w:rFonts w:ascii="Times New Roman" w:eastAsiaTheme="minorHAnsi" w:hAnsi="Times New Roman"/>
          <w:b/>
          <w:color w:val="5B9BD5" w:themeColor="accent1"/>
          <w:sz w:val="24"/>
          <w:szCs w:val="24"/>
        </w:rPr>
        <w:t>12. Допустими парт</w:t>
      </w:r>
      <w:r w:rsidR="00774AF7" w:rsidRPr="009D0B76">
        <w:rPr>
          <w:rFonts w:ascii="Times New Roman" w:eastAsiaTheme="minorHAnsi" w:hAnsi="Times New Roman"/>
          <w:b/>
          <w:color w:val="5B9BD5" w:themeColor="accent1"/>
          <w:sz w:val="24"/>
          <w:szCs w:val="24"/>
        </w:rPr>
        <w:t>н</w:t>
      </w:r>
      <w:r w:rsidRPr="009D0B76">
        <w:rPr>
          <w:rFonts w:ascii="Times New Roman" w:eastAsiaTheme="minorHAnsi" w:hAnsi="Times New Roman"/>
          <w:b/>
          <w:color w:val="5B9BD5" w:themeColor="accent1"/>
          <w:sz w:val="24"/>
          <w:szCs w:val="24"/>
        </w:rPr>
        <w:t>ьори: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DE24EF" w:rsidRPr="009D0B76" w14:paraId="62582B1B" w14:textId="77777777" w:rsidTr="003E7EE4">
        <w:tc>
          <w:tcPr>
            <w:tcW w:w="10760" w:type="dxa"/>
            <w:shd w:val="clear" w:color="auto" w:fill="auto"/>
          </w:tcPr>
          <w:p w14:paraId="1F24D04F" w14:textId="77777777" w:rsidR="002D7B10" w:rsidRPr="009D0B76" w:rsidRDefault="002D7B10"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Неприложимо</w:t>
            </w:r>
          </w:p>
        </w:tc>
      </w:tr>
    </w:tbl>
    <w:p w14:paraId="6B7AA4CA" w14:textId="77777777" w:rsidR="00DE24EF" w:rsidRPr="009D0B76" w:rsidRDefault="00DE24EF" w:rsidP="009D0B76">
      <w:pPr>
        <w:spacing w:after="0" w:line="276" w:lineRule="auto"/>
        <w:jc w:val="both"/>
        <w:rPr>
          <w:rFonts w:ascii="Times New Roman" w:eastAsiaTheme="minorHAnsi" w:hAnsi="Times New Roman"/>
          <w:b/>
          <w:sz w:val="24"/>
          <w:szCs w:val="24"/>
        </w:rPr>
      </w:pPr>
    </w:p>
    <w:p w14:paraId="5B10CE7F" w14:textId="77777777" w:rsidR="006811BC" w:rsidRPr="009D0B76" w:rsidRDefault="006811BC" w:rsidP="009D0B76">
      <w:pPr>
        <w:spacing w:after="0" w:line="276" w:lineRule="auto"/>
        <w:jc w:val="both"/>
        <w:rPr>
          <w:rFonts w:ascii="Times New Roman" w:eastAsiaTheme="minorHAnsi" w:hAnsi="Times New Roman"/>
          <w:b/>
          <w:sz w:val="24"/>
          <w:szCs w:val="24"/>
        </w:rPr>
      </w:pPr>
    </w:p>
    <w:p w14:paraId="2ECEB461" w14:textId="77777777" w:rsidR="006811BC" w:rsidRPr="009D0B76" w:rsidRDefault="006811BC"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color w:val="5B9BD5" w:themeColor="accent1"/>
          <w:sz w:val="24"/>
          <w:szCs w:val="24"/>
        </w:rPr>
        <w:t xml:space="preserve">13.Дейности, допустими за финансиране: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DE24EF" w:rsidRPr="009D0B76" w14:paraId="2C48B76A" w14:textId="77777777" w:rsidTr="003E7EE4">
        <w:tc>
          <w:tcPr>
            <w:tcW w:w="10760" w:type="dxa"/>
            <w:shd w:val="clear" w:color="auto" w:fill="auto"/>
          </w:tcPr>
          <w:p w14:paraId="4AEAC9B3" w14:textId="77777777" w:rsidR="00DE24EF" w:rsidRPr="009D0B76" w:rsidRDefault="00EA4FA6"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1) Строителство, реконструкция и/или рехабилитация на нови и съществуващи общински пътища, улици и тротоари, и съоръженията и принадлежностите към тях; 2) Изграждане, реконструкция и/или рехабилитация на водоснабдителни системи и </w:t>
            </w:r>
            <w:r w:rsidRPr="009D0B76">
              <w:rPr>
                <w:rFonts w:ascii="Times New Roman" w:eastAsiaTheme="minorHAnsi" w:hAnsi="Times New Roman"/>
                <w:sz w:val="24"/>
                <w:szCs w:val="24"/>
              </w:rPr>
              <w:lastRenderedPageBreak/>
              <w:t>съоръжения в агломерации с под 2 000 е. ж. в селските райони; 3)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4)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 5) Реконструкция и/или ремонт на общински сгради, в които се предоставят обществени услуги, с цел подобряване на тяхната енергийна ефективност; 6) Изграждане, реконструкция, ремонт, оборудване и/или обзавеждане на спортна инфраструктура; 7) Изграждане, реконструкция, ремонт, реставрация, закупуване на оборудване и/или обзавеждане на обекти, свързани с културния живот, включително мобилни такива, включително и дейности по вертикалната планировка и подобряване на прилежащите пространства; 8) Реконструкция, ремонт, оборудване и/или обзавеждане на общинска образователна инфраструктура с местно значение в на територията на МИГ.</w:t>
            </w:r>
          </w:p>
        </w:tc>
      </w:tr>
    </w:tbl>
    <w:p w14:paraId="7CB119BF" w14:textId="77777777" w:rsidR="00DE24EF" w:rsidRPr="009D0B76" w:rsidRDefault="00DE24EF" w:rsidP="009D0B76">
      <w:pPr>
        <w:spacing w:after="0" w:line="276" w:lineRule="auto"/>
        <w:jc w:val="both"/>
        <w:rPr>
          <w:rFonts w:ascii="Times New Roman" w:eastAsiaTheme="minorHAnsi" w:hAnsi="Times New Roman"/>
          <w:b/>
          <w:sz w:val="24"/>
          <w:szCs w:val="24"/>
        </w:rPr>
      </w:pPr>
    </w:p>
    <w:p w14:paraId="3135B617" w14:textId="77777777" w:rsidR="002F5698" w:rsidRPr="009D0B76" w:rsidRDefault="002F5698" w:rsidP="009D0B76">
      <w:pPr>
        <w:spacing w:after="0" w:line="276" w:lineRule="auto"/>
        <w:jc w:val="both"/>
        <w:rPr>
          <w:rFonts w:ascii="Times New Roman" w:eastAsiaTheme="minorHAnsi" w:hAnsi="Times New Roman"/>
          <w:b/>
          <w:color w:val="5B9BD5" w:themeColor="accent1"/>
          <w:sz w:val="24"/>
          <w:szCs w:val="24"/>
        </w:rPr>
      </w:pPr>
    </w:p>
    <w:p w14:paraId="74975403" w14:textId="77777777" w:rsidR="002F5698" w:rsidRPr="009D0B76" w:rsidRDefault="002F5698" w:rsidP="009D0B76">
      <w:pPr>
        <w:spacing w:after="0" w:line="276" w:lineRule="auto"/>
        <w:jc w:val="both"/>
        <w:rPr>
          <w:rFonts w:ascii="Times New Roman" w:eastAsiaTheme="minorHAnsi" w:hAnsi="Times New Roman"/>
          <w:b/>
          <w:color w:val="5B9BD5" w:themeColor="accent1"/>
          <w:sz w:val="24"/>
          <w:szCs w:val="24"/>
        </w:rPr>
      </w:pPr>
    </w:p>
    <w:p w14:paraId="6C7EF81D" w14:textId="77777777" w:rsidR="00D42418" w:rsidRPr="009D0B76" w:rsidRDefault="00D4241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color w:val="5B9BD5" w:themeColor="accent1"/>
          <w:sz w:val="24"/>
          <w:szCs w:val="24"/>
        </w:rPr>
        <w:t>14. Категории разходи, допустими за финансиране:</w:t>
      </w:r>
      <w:r w:rsidRPr="009D0B76">
        <w:rPr>
          <w:rFonts w:ascii="Times New Roman" w:eastAsiaTheme="minorHAnsi" w:hAnsi="Times New Roman"/>
          <w:b/>
          <w:sz w:val="24"/>
          <w:szCs w:val="24"/>
        </w:rPr>
        <w:t xml:space="preserve"> </w:t>
      </w:r>
    </w:p>
    <w:p w14:paraId="5E0168A5" w14:textId="77777777" w:rsidR="009B40B5" w:rsidRPr="009D0B76" w:rsidRDefault="009B40B5"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14.1 Допустими разходи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DE24EF" w:rsidRPr="009D0B76" w14:paraId="5974982A" w14:textId="77777777" w:rsidTr="004D29F1">
        <w:tc>
          <w:tcPr>
            <w:tcW w:w="9464" w:type="dxa"/>
            <w:shd w:val="clear" w:color="auto" w:fill="auto"/>
          </w:tcPr>
          <w:p w14:paraId="7718625F" w14:textId="77777777" w:rsidR="00774AF7" w:rsidRPr="009D0B76" w:rsidRDefault="00A179AD"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1) Строителство, реконструкция, рехабилитация, изграждане, обновяване, ремонт и/или реставрация на сгради и/или помещения и/или друга недвижима собственост, съгласно допустимите за подпомагане дейности: а) разходи, свързани с прякото изпълнение на строително-монтажните работи; б) непредвидени разходи в размер до 5% от стойността на одобрените разходи по буква „а“; 2) Закупуване на нови транспортни средства, оборудване и обзавеждане до пазарната им стойност, включително чрез финансов лизинг, съгласно допустимите за подпомагане дейности; 3) Придобиване на компютърен софтуер, патентни и авторски права, лицензи, регистрация на търговски марки, до пазарната им стойност; 4) Разходи, свързани с проекта, в т. ч. разходи за хонорари за архитекти, инженери и консултанти, консултации за икономическа и екологична устойчивост на проекта, извършени както в процеса на подготовка на проекта преди подаване на заявлението за подпомагане, така и по време на неговото изпълнение. Разходите, свързани с проекта не </w:t>
            </w:r>
            <w:r w:rsidRPr="009D0B76">
              <w:rPr>
                <w:rFonts w:ascii="Times New Roman" w:eastAsiaTheme="minorHAnsi" w:hAnsi="Times New Roman"/>
                <w:sz w:val="24"/>
                <w:szCs w:val="24"/>
              </w:rPr>
              <w:lastRenderedPageBreak/>
              <w:t>трябва да надхвърлят 12% от сумата на разходите за строителство и придобиване на ДМА и ДНА.</w:t>
            </w:r>
            <w:r w:rsidR="00774AF7" w:rsidRPr="009D0B76">
              <w:rPr>
                <w:rFonts w:ascii="Times New Roman" w:eastAsiaTheme="minorHAnsi" w:hAnsi="Times New Roman"/>
                <w:sz w:val="24"/>
                <w:szCs w:val="24"/>
              </w:rPr>
              <w:t xml:space="preserve">(разходите по т.1, буква „а“, т.2 и 3). </w:t>
            </w:r>
          </w:p>
          <w:p w14:paraId="7D82CDF2" w14:textId="77777777" w:rsidR="00774AF7" w:rsidRPr="009D0B76" w:rsidRDefault="00774AF7"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5) Разходите, свързани с попълване </w:t>
            </w:r>
            <w:r w:rsidR="00A02417" w:rsidRPr="009D0B76">
              <w:rPr>
                <w:rFonts w:ascii="Times New Roman" w:eastAsiaTheme="minorHAnsi" w:hAnsi="Times New Roman"/>
                <w:sz w:val="24"/>
                <w:szCs w:val="24"/>
              </w:rPr>
              <w:t xml:space="preserve">на анализ разходи-ползи (финансов анализ), извършване на предпроектни проучвания и окомплектоване на пакета от документи и консултантски </w:t>
            </w:r>
            <w:r w:rsidR="00570373" w:rsidRPr="009D0B76">
              <w:rPr>
                <w:rFonts w:ascii="Times New Roman" w:eastAsiaTheme="minorHAnsi" w:hAnsi="Times New Roman"/>
                <w:sz w:val="24"/>
                <w:szCs w:val="24"/>
              </w:rPr>
              <w:t>услуги, свързани с изпълнението , и отчитане на дейностите по проекта до изплащане на помощта не следва да надхвърля 5 на сто от сто</w:t>
            </w:r>
            <w:r w:rsidR="00B303B7" w:rsidRPr="009D0B76">
              <w:rPr>
                <w:rFonts w:ascii="Times New Roman" w:eastAsiaTheme="minorHAnsi" w:hAnsi="Times New Roman"/>
                <w:sz w:val="24"/>
                <w:szCs w:val="24"/>
              </w:rPr>
              <w:t>й</w:t>
            </w:r>
            <w:r w:rsidR="00570373" w:rsidRPr="009D0B76">
              <w:rPr>
                <w:rFonts w:ascii="Times New Roman" w:eastAsiaTheme="minorHAnsi" w:hAnsi="Times New Roman"/>
                <w:sz w:val="24"/>
                <w:szCs w:val="24"/>
              </w:rPr>
              <w:t>ността на общите допустими разходи.</w:t>
            </w:r>
          </w:p>
          <w:p w14:paraId="1E23AB70" w14:textId="77777777" w:rsidR="00DE24EF" w:rsidRPr="009D0B76" w:rsidRDefault="00A179AD"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Разходите за ДДС са допустими в случаите, когато не подлежат на възстановяване в съответствие с националното зак</w:t>
            </w:r>
            <w:r w:rsidR="00B303B7" w:rsidRPr="009D0B76">
              <w:rPr>
                <w:rFonts w:ascii="Times New Roman" w:eastAsiaTheme="minorHAnsi" w:hAnsi="Times New Roman"/>
                <w:sz w:val="24"/>
                <w:szCs w:val="24"/>
              </w:rPr>
              <w:t>онодателство в областта на ДДС.</w:t>
            </w:r>
          </w:p>
        </w:tc>
      </w:tr>
    </w:tbl>
    <w:p w14:paraId="68FE711A" w14:textId="77777777" w:rsidR="00071ACA" w:rsidRPr="009D0B76" w:rsidRDefault="00071ACA" w:rsidP="009D0B76">
      <w:pPr>
        <w:spacing w:after="0" w:line="276" w:lineRule="auto"/>
        <w:jc w:val="both"/>
        <w:rPr>
          <w:rFonts w:ascii="Times New Roman" w:eastAsiaTheme="minorHAnsi" w:hAnsi="Times New Roman"/>
          <w:b/>
          <w:color w:val="5B9BD5" w:themeColor="accent1"/>
          <w:sz w:val="24"/>
          <w:szCs w:val="24"/>
        </w:rPr>
      </w:pPr>
    </w:p>
    <w:p w14:paraId="0445D73A" w14:textId="77777777" w:rsidR="009B40B5" w:rsidRPr="009D0B76" w:rsidRDefault="009B40B5" w:rsidP="009D0B76">
      <w:pPr>
        <w:pStyle w:val="ListParagraph"/>
        <w:numPr>
          <w:ilvl w:val="1"/>
          <w:numId w:val="29"/>
        </w:numPr>
        <w:spacing w:after="0" w:line="276" w:lineRule="auto"/>
        <w:jc w:val="both"/>
        <w:outlineLvl w:val="1"/>
        <w:rPr>
          <w:rFonts w:ascii="Times New Roman" w:eastAsiaTheme="minorHAnsi" w:hAnsi="Times New Roman"/>
          <w:b/>
          <w:color w:val="5B9BD5" w:themeColor="accent1"/>
          <w:sz w:val="24"/>
          <w:szCs w:val="24"/>
        </w:rPr>
      </w:pPr>
      <w:bookmarkStart w:id="7" w:name="_Toc5112478"/>
      <w:r w:rsidRPr="009D0B76">
        <w:rPr>
          <w:rFonts w:ascii="Times New Roman" w:eastAsiaTheme="minorHAnsi" w:hAnsi="Times New Roman"/>
          <w:b/>
          <w:color w:val="5B9BD5" w:themeColor="accent1"/>
          <w:sz w:val="24"/>
          <w:szCs w:val="24"/>
        </w:rPr>
        <w:t xml:space="preserve"> Недопустими разходи</w:t>
      </w:r>
      <w:bookmarkEnd w:id="7"/>
    </w:p>
    <w:tbl>
      <w:tblPr>
        <w:tblStyle w:val="TableGrid"/>
        <w:tblW w:w="0" w:type="auto"/>
        <w:tblLook w:val="04A0" w:firstRow="1" w:lastRow="0" w:firstColumn="1" w:lastColumn="0" w:noHBand="0" w:noVBand="1"/>
      </w:tblPr>
      <w:tblGrid>
        <w:gridCol w:w="9074"/>
      </w:tblGrid>
      <w:tr w:rsidR="009B40B5" w:rsidRPr="009D0B76" w14:paraId="2A83AD5F" w14:textId="77777777" w:rsidTr="006B2FBA">
        <w:tc>
          <w:tcPr>
            <w:tcW w:w="9212" w:type="dxa"/>
          </w:tcPr>
          <w:p w14:paraId="065E8B50" w14:textId="77777777" w:rsidR="009B40B5" w:rsidRPr="009D0B76" w:rsidRDefault="009B40B5"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Недопустими разходи по настоящите Условия за кандидатстване са:</w:t>
            </w:r>
          </w:p>
          <w:p w14:paraId="74133B39"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закупуване или наем на земя и сгради;</w:t>
            </w:r>
          </w:p>
          <w:p w14:paraId="20D3FEA2"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закупуване на оборудване и обзавеждане втора употреба;</w:t>
            </w:r>
          </w:p>
          <w:p w14:paraId="7FDC4951"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данък върху добавена стойност, освен когато не е възстановим;</w:t>
            </w:r>
          </w:p>
          <w:p w14:paraId="40F598AB"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оперативни разходи, включително разходи за поддръжка, наеми, застраховка, текущ ремонт;</w:t>
            </w:r>
          </w:p>
          <w:p w14:paraId="28EEB5DC"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банкови и административни такси, разходи за гаранции, изплащане и рефинансиране на лихви, застраховки;</w:t>
            </w:r>
          </w:p>
          <w:p w14:paraId="68C37550"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обезщетения за отчуждаване на имоти;</w:t>
            </w:r>
          </w:p>
          <w:p w14:paraId="2D786757"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принос в натура;</w:t>
            </w:r>
          </w:p>
          <w:p w14:paraId="7F212FF2"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 xml:space="preserve">закупуване на оборудване, включително компютърен софтуер, над пазарната им стойност; </w:t>
            </w:r>
          </w:p>
          <w:p w14:paraId="373951B9"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едногодишни растения;</w:t>
            </w:r>
          </w:p>
          <w:p w14:paraId="2D00F4F5"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плащания в брой;</w:t>
            </w:r>
          </w:p>
          <w:p w14:paraId="18C2312D"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лихви и комисиони, печалба на лизинговата компания, разходи по лихви за рефинансиране, оперативни и застрахователни разходи по лизинговия договор в случаите на финансов лизинг;</w:t>
            </w:r>
          </w:p>
          <w:p w14:paraId="6CE53A7A"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инвестиции, за които ДФЗ-РА или друг компетентен орган установи изкуствено създадени условия за получаване на помощта с цел осъществяване на предимство в противоречие с целите на мярката;</w:t>
            </w:r>
          </w:p>
          <w:p w14:paraId="31013DD4"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инвестиции, които представляват обикновена подмяна;</w:t>
            </w:r>
          </w:p>
          <w:p w14:paraId="17ADA9E3"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lastRenderedPageBreak/>
              <w:t>инвестиции, за които се установи, че ще имат отрицателно въздействие върху околната среда;</w:t>
            </w:r>
          </w:p>
          <w:p w14:paraId="7C5B21F5"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неустойки за неизпълнение по договорите с избраните доставчици/изпълнители;</w:t>
            </w:r>
          </w:p>
          <w:p w14:paraId="4F32B28F"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натрупани лихви върху изплатени авансови плащания;</w:t>
            </w:r>
          </w:p>
          <w:p w14:paraId="66F8E9D8"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инвестиции в частта им, която надвишава референтните разходи;</w:t>
            </w:r>
          </w:p>
          <w:p w14:paraId="762FF1C3" w14:textId="77777777" w:rsidR="009B40B5" w:rsidRPr="009D0B76" w:rsidRDefault="009B40B5" w:rsidP="009D0B76">
            <w:pPr>
              <w:pStyle w:val="ListParagraph"/>
              <w:numPr>
                <w:ilvl w:val="0"/>
                <w:numId w:val="27"/>
              </w:num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инвестиции, за които е установено двойно финансиране;</w:t>
            </w:r>
          </w:p>
          <w:p w14:paraId="285AAE11" w14:textId="77777777" w:rsidR="009B40B5" w:rsidRPr="009D0B76" w:rsidRDefault="009B40B5" w:rsidP="009D0B76">
            <w:pPr>
              <w:spacing w:line="276" w:lineRule="auto"/>
              <w:jc w:val="both"/>
              <w:rPr>
                <w:rFonts w:ascii="Times New Roman" w:eastAsiaTheme="minorHAnsi" w:hAnsi="Times New Roman"/>
                <w:sz w:val="24"/>
                <w:szCs w:val="24"/>
                <w:lang w:val="bg-BG"/>
              </w:rPr>
            </w:pPr>
          </w:p>
          <w:p w14:paraId="39D48F21" w14:textId="77777777" w:rsidR="009B40B5" w:rsidRPr="009D0B76" w:rsidRDefault="009B40B5" w:rsidP="009D0B76">
            <w:pPr>
              <w:spacing w:line="276" w:lineRule="auto"/>
              <w:jc w:val="both"/>
              <w:rPr>
                <w:rFonts w:ascii="Times New Roman" w:eastAsiaTheme="minorHAnsi" w:hAnsi="Times New Roman"/>
                <w:b/>
                <w:color w:val="5B9BD5" w:themeColor="accent1"/>
                <w:sz w:val="24"/>
                <w:szCs w:val="24"/>
                <w:lang w:val="bg-BG"/>
              </w:rPr>
            </w:pPr>
            <w:r w:rsidRPr="009D0B76">
              <w:rPr>
                <w:rFonts w:ascii="Times New Roman" w:eastAsiaTheme="minorHAnsi" w:hAnsi="Times New Roman"/>
                <w:sz w:val="24"/>
                <w:szCs w:val="24"/>
                <w:lang w:val="bg-BG"/>
              </w:rPr>
              <w:t>Недопустими по настоящата процедура са разходите, съгласно чл. 21, ал. 2 от  Наредба 22 от 2015 г.</w:t>
            </w:r>
          </w:p>
        </w:tc>
      </w:tr>
    </w:tbl>
    <w:p w14:paraId="189EDAD3" w14:textId="77777777" w:rsidR="009B40B5" w:rsidRPr="009D0B76" w:rsidRDefault="009B40B5" w:rsidP="009D0B76">
      <w:pPr>
        <w:spacing w:after="0" w:line="276" w:lineRule="auto"/>
        <w:jc w:val="both"/>
        <w:rPr>
          <w:rFonts w:ascii="Times New Roman" w:eastAsiaTheme="minorHAnsi" w:hAnsi="Times New Roman"/>
          <w:b/>
          <w:color w:val="5B9BD5" w:themeColor="accent1"/>
          <w:sz w:val="24"/>
          <w:szCs w:val="24"/>
        </w:rPr>
      </w:pPr>
    </w:p>
    <w:p w14:paraId="213D84CE" w14:textId="77777777" w:rsidR="00621947" w:rsidRPr="009D0B76" w:rsidRDefault="00621947" w:rsidP="009D0B76">
      <w:pPr>
        <w:spacing w:after="0" w:line="276" w:lineRule="auto"/>
        <w:jc w:val="both"/>
        <w:rPr>
          <w:rFonts w:ascii="Times New Roman" w:eastAsiaTheme="minorHAnsi" w:hAnsi="Times New Roman"/>
          <w:b/>
          <w:color w:val="5B9BD5" w:themeColor="accent1"/>
          <w:sz w:val="24"/>
          <w:szCs w:val="24"/>
        </w:rPr>
      </w:pPr>
      <w:r w:rsidRPr="009D0B76">
        <w:rPr>
          <w:rFonts w:ascii="Times New Roman" w:eastAsiaTheme="minorHAnsi" w:hAnsi="Times New Roman"/>
          <w:b/>
          <w:color w:val="5B9BD5" w:themeColor="accent1"/>
          <w:sz w:val="24"/>
          <w:szCs w:val="24"/>
        </w:rPr>
        <w:t>15.Допустими целеви групи(ако е приложимо):</w:t>
      </w:r>
    </w:p>
    <w:p w14:paraId="501C967F" w14:textId="19CCE620" w:rsidR="00621947" w:rsidRPr="00590630" w:rsidRDefault="00621947" w:rsidP="00E93FEB">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Theme="minorHAnsi" w:hAnsi="Times New Roman"/>
          <w:color w:val="5B9BD5" w:themeColor="accent1"/>
          <w:sz w:val="24"/>
          <w:szCs w:val="24"/>
        </w:rPr>
      </w:pPr>
      <w:r w:rsidRPr="009D0B76">
        <w:rPr>
          <w:rFonts w:ascii="Times New Roman" w:eastAsiaTheme="minorHAnsi" w:hAnsi="Times New Roman"/>
          <w:sz w:val="24"/>
          <w:szCs w:val="24"/>
        </w:rPr>
        <w:t>Н</w:t>
      </w:r>
      <w:r w:rsidR="00071ACA" w:rsidRPr="009D0B76">
        <w:rPr>
          <w:rFonts w:ascii="Times New Roman" w:eastAsiaTheme="minorHAnsi" w:hAnsi="Times New Roman"/>
          <w:sz w:val="24"/>
          <w:szCs w:val="24"/>
        </w:rPr>
        <w:t>еприложимо</w:t>
      </w:r>
      <w:r w:rsidR="00E93FEB">
        <w:rPr>
          <w:rFonts w:ascii="Times New Roman" w:eastAsiaTheme="minorHAnsi" w:hAnsi="Times New Roman"/>
          <w:sz w:val="24"/>
          <w:szCs w:val="24"/>
        </w:rPr>
        <w:t xml:space="preserve"> </w:t>
      </w:r>
    </w:p>
    <w:tbl>
      <w:tblPr>
        <w:tblW w:w="10760" w:type="dxa"/>
        <w:tblInd w:w="-113" w:type="dxa"/>
        <w:tblLook w:val="04A0" w:firstRow="1" w:lastRow="0" w:firstColumn="1" w:lastColumn="0" w:noHBand="0" w:noVBand="1"/>
      </w:tblPr>
      <w:tblGrid>
        <w:gridCol w:w="101"/>
        <w:gridCol w:w="9251"/>
        <w:gridCol w:w="1408"/>
      </w:tblGrid>
      <w:tr w:rsidR="00DE24EF" w:rsidRPr="009D0B76" w14:paraId="1C0A2AB2" w14:textId="77777777" w:rsidTr="00621947">
        <w:trPr>
          <w:gridBefore w:val="1"/>
          <w:gridAfter w:val="1"/>
          <w:wBefore w:w="113" w:type="dxa"/>
          <w:wAfter w:w="1585" w:type="dxa"/>
        </w:trPr>
        <w:tc>
          <w:tcPr>
            <w:tcW w:w="9062" w:type="dxa"/>
            <w:shd w:val="clear" w:color="auto" w:fill="auto"/>
          </w:tcPr>
          <w:p w14:paraId="73C660CC" w14:textId="77777777" w:rsidR="00621947" w:rsidRDefault="00621947" w:rsidP="009D0B76">
            <w:pPr>
              <w:spacing w:after="0" w:line="276" w:lineRule="auto"/>
              <w:jc w:val="both"/>
              <w:rPr>
                <w:rFonts w:ascii="Times New Roman" w:eastAsiaTheme="minorHAnsi" w:hAnsi="Times New Roman"/>
                <w:b/>
                <w:color w:val="5B9BD5" w:themeColor="accent1"/>
                <w:sz w:val="24"/>
                <w:szCs w:val="24"/>
              </w:rPr>
            </w:pPr>
            <w:r w:rsidRPr="009D0B76">
              <w:rPr>
                <w:rFonts w:ascii="Times New Roman" w:eastAsiaTheme="minorHAnsi" w:hAnsi="Times New Roman"/>
                <w:b/>
                <w:color w:val="5B9BD5" w:themeColor="accent1"/>
                <w:sz w:val="24"/>
                <w:szCs w:val="24"/>
              </w:rPr>
              <w:t>16.Приложим режим на минимални/държавни помощи (ако е приложимо):</w:t>
            </w:r>
          </w:p>
          <w:tbl>
            <w:tblPr>
              <w:tblStyle w:val="TableGrid"/>
              <w:tblW w:w="9025" w:type="dxa"/>
              <w:tblLook w:val="04A0" w:firstRow="1" w:lastRow="0" w:firstColumn="1" w:lastColumn="0" w:noHBand="0" w:noVBand="1"/>
            </w:tblPr>
            <w:tblGrid>
              <w:gridCol w:w="9025"/>
            </w:tblGrid>
            <w:tr w:rsidR="00590630" w:rsidRPr="009D0B76" w14:paraId="257036A7" w14:textId="77777777" w:rsidTr="006F3044">
              <w:trPr>
                <w:trHeight w:val="757"/>
              </w:trPr>
              <w:tc>
                <w:tcPr>
                  <w:tcW w:w="9025" w:type="dxa"/>
                </w:tcPr>
                <w:p w14:paraId="7CACFDA6" w14:textId="77777777" w:rsidR="00D91839" w:rsidRPr="00CD49E7" w:rsidRDefault="00D91839" w:rsidP="00D91839">
                  <w:pPr>
                    <w:spacing w:after="120" w:line="276" w:lineRule="auto"/>
                    <w:jc w:val="both"/>
                    <w:rPr>
                      <w:rFonts w:ascii="Times New Roman" w:hAnsi="Times New Roman"/>
                      <w:sz w:val="24"/>
                      <w:szCs w:val="24"/>
                      <w:lang w:val="bg-BG"/>
                    </w:rPr>
                  </w:pPr>
                  <w:r w:rsidRPr="00CD49E7">
                    <w:rPr>
                      <w:rFonts w:ascii="Times New Roman" w:hAnsi="Times New Roman"/>
                      <w:sz w:val="24"/>
                      <w:szCs w:val="24"/>
                      <w:lang w:val="bg-BG"/>
                    </w:rPr>
                    <w:t>Предоставянето на публичен ресурс, вкл. Безвъзмездна финансова помощ по настоящата процедура трябва да бъде съобразено с правилата за държавна помощ, като се отчита принципната недопустимост на държавните помощи и възможните хипотези на съвместимост, които Договорът за ЕС, Регламентите и националното законодателство предвиждат.</w:t>
                  </w:r>
                </w:p>
                <w:p w14:paraId="138BB6DA" w14:textId="1D60D337" w:rsidR="00D91839" w:rsidRPr="00CD49E7" w:rsidRDefault="00D91839" w:rsidP="00D91839">
                  <w:pPr>
                    <w:spacing w:after="120" w:line="276" w:lineRule="auto"/>
                    <w:jc w:val="both"/>
                    <w:rPr>
                      <w:rFonts w:ascii="Times New Roman" w:hAnsi="Times New Roman"/>
                      <w:sz w:val="24"/>
                      <w:szCs w:val="24"/>
                      <w:lang w:val="bg-BG"/>
                    </w:rPr>
                  </w:pPr>
                  <w:r w:rsidRPr="00CD49E7">
                    <w:rPr>
                      <w:rFonts w:ascii="Times New Roman" w:hAnsi="Times New Roman"/>
                      <w:sz w:val="24"/>
                      <w:szCs w:val="24"/>
                      <w:lang w:val="bg-BG"/>
                    </w:rPr>
                    <w:t xml:space="preserve">Бенефициентите по процедура </w:t>
                  </w:r>
                  <w:r w:rsidRPr="00CD49E7">
                    <w:rPr>
                      <w:rFonts w:ascii="Times New Roman" w:hAnsi="Times New Roman"/>
                      <w:bCs/>
                      <w:sz w:val="24"/>
                      <w:szCs w:val="24"/>
                      <w:lang w:val="bg-BG" w:eastAsia="bg-BG"/>
                    </w:rPr>
                    <w:t>BG06RDNP001-19.6</w:t>
                  </w:r>
                  <w:r w:rsidR="00CD49E7" w:rsidRPr="00CD49E7">
                    <w:rPr>
                      <w:rFonts w:ascii="Times New Roman" w:hAnsi="Times New Roman"/>
                      <w:bCs/>
                      <w:sz w:val="24"/>
                      <w:szCs w:val="24"/>
                      <w:lang w:val="bg-BG" w:eastAsia="bg-BG"/>
                    </w:rPr>
                    <w:t xml:space="preserve">79 </w:t>
                  </w:r>
                  <w:r w:rsidR="00CD49E7" w:rsidRPr="00CD49E7">
                    <w:rPr>
                      <w:rFonts w:ascii="Times New Roman" w:eastAsiaTheme="minorHAnsi" w:hAnsi="Times New Roman"/>
                      <w:sz w:val="24"/>
                      <w:szCs w:val="24"/>
                      <w:lang w:val="bg-BG"/>
                    </w:rPr>
                    <w:t xml:space="preserve">Подмярка 7.2. </w:t>
                  </w:r>
                  <w:r w:rsidR="00A65DAF">
                    <w:rPr>
                      <w:rFonts w:ascii="Times New Roman" w:eastAsiaTheme="minorHAnsi" w:hAnsi="Times New Roman"/>
                      <w:sz w:val="24"/>
                      <w:szCs w:val="24"/>
                      <w:lang w:val="bg-BG"/>
                    </w:rPr>
                    <w:t>Подкрепа за и</w:t>
                  </w:r>
                  <w:r w:rsidR="00CD49E7" w:rsidRPr="00CD49E7">
                    <w:rPr>
                      <w:rFonts w:ascii="Times New Roman" w:eastAsiaTheme="minorHAnsi" w:hAnsi="Times New Roman"/>
                      <w:sz w:val="24"/>
                      <w:szCs w:val="24"/>
                      <w:lang w:val="bg-BG"/>
                    </w:rPr>
                    <w:t>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w:t>
                  </w:r>
                  <w:r w:rsidR="00CD49E7">
                    <w:rPr>
                      <w:rFonts w:ascii="Times New Roman" w:eastAsiaTheme="minorHAnsi" w:hAnsi="Times New Roman"/>
                      <w:sz w:val="24"/>
                      <w:szCs w:val="24"/>
                      <w:lang w:val="bg-BG"/>
                    </w:rPr>
                    <w:t xml:space="preserve"> </w:t>
                  </w:r>
                  <w:r w:rsidRPr="00CD49E7">
                    <w:rPr>
                      <w:rFonts w:ascii="Times New Roman" w:hAnsi="Times New Roman"/>
                      <w:sz w:val="24"/>
                      <w:szCs w:val="24"/>
                      <w:lang w:val="bg-BG"/>
                    </w:rPr>
                    <w:t>са длъжни да спазват законодателството в областта на обществените поръчки и държавните помощи, и да не допускат средствата, получени по административния договор да бъдат предоставени на трети лица в нарушение на режима на държавни помощи.</w:t>
                  </w:r>
                </w:p>
                <w:p w14:paraId="71F2923F" w14:textId="280BC1DD" w:rsidR="00D91839" w:rsidRDefault="00D91839" w:rsidP="00D91839">
                  <w:pPr>
                    <w:spacing w:after="120" w:line="276" w:lineRule="auto"/>
                    <w:jc w:val="both"/>
                    <w:rPr>
                      <w:rFonts w:ascii="Times New Roman" w:hAnsi="Times New Roman"/>
                      <w:sz w:val="24"/>
                      <w:szCs w:val="24"/>
                      <w:lang w:val="bg-BG"/>
                    </w:rPr>
                  </w:pPr>
                  <w:r w:rsidRPr="00CD49E7">
                    <w:rPr>
                      <w:rFonts w:ascii="Times New Roman" w:hAnsi="Times New Roman"/>
                      <w:sz w:val="24"/>
                      <w:szCs w:val="24"/>
                      <w:lang w:val="bg-BG"/>
                    </w:rPr>
                    <w:t xml:space="preserve">За да бъде финансирането класифицирано като държавна помощ, трябва да са налице всички четири характеристики, описани в чл. 107 от ДФЕС, а именно: </w:t>
                  </w:r>
                </w:p>
                <w:p w14:paraId="09CB675F"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1)</w:t>
                  </w:r>
                  <w:r w:rsidRPr="00A65DAF">
                    <w:rPr>
                      <w:rFonts w:ascii="Times New Roman" w:hAnsi="Times New Roman"/>
                      <w:sz w:val="24"/>
                      <w:szCs w:val="24"/>
                      <w:lang w:val="bg-BG"/>
                    </w:rPr>
                    <w:tab/>
                    <w:t xml:space="preserve">Финансирането се предоставя от държавата или чрез държавни ресурси. Средствата предоставени по мерките и подмерките по ПРСР 2014 - 2020 г., вкл. чрез Стратегиите за водено от общностите местно развитите, се считат за държавен ресурс, </w:t>
                  </w:r>
                  <w:r w:rsidRPr="00A65DAF">
                    <w:rPr>
                      <w:rFonts w:ascii="Times New Roman" w:hAnsi="Times New Roman"/>
                      <w:sz w:val="24"/>
                      <w:szCs w:val="24"/>
                      <w:lang w:val="bg-BG"/>
                    </w:rPr>
                    <w:lastRenderedPageBreak/>
                    <w:t>тъй като всяка държава-членка определя как да се изразходват. В тази връзка изследването на това условие не е необходимо за всеки конкретен случай, тъй като е предварително установено, че същото е налице.</w:t>
                  </w:r>
                </w:p>
                <w:p w14:paraId="5B495B83"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2)</w:t>
                  </w:r>
                  <w:r w:rsidRPr="00A65DAF">
                    <w:rPr>
                      <w:rFonts w:ascii="Times New Roman" w:hAnsi="Times New Roman"/>
                      <w:sz w:val="24"/>
                      <w:szCs w:val="24"/>
                      <w:lang w:val="bg-BG"/>
                    </w:rPr>
                    <w:tab/>
                    <w:t>Финансирането облагодетелства определени предприятия или производства на някои стоки. Общодостъпни мерки, налични при еднакви условия за всички предприятия в еднаква ситуация във всички части на държавата-членка не отговаря на този критерий.</w:t>
                  </w:r>
                </w:p>
                <w:p w14:paraId="28488CAE"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3)</w:t>
                  </w:r>
                  <w:r w:rsidRPr="00A65DAF">
                    <w:rPr>
                      <w:rFonts w:ascii="Times New Roman" w:hAnsi="Times New Roman"/>
                      <w:sz w:val="24"/>
                      <w:szCs w:val="24"/>
                      <w:lang w:val="bg-BG"/>
                    </w:rPr>
                    <w:tab/>
                    <w:t>Финансирането нарушава или заплашва да наруши конкуренцията. Когато не е налице икономическа дейност или в съответния сектор не е налице свободен пазар на стоки и услуги, т.е. не е налице конкуренция, този критерий не е изпълнен. Същото важи при случаи на неконкурентен пазар или пазар, на който се наблюдават пазарни дефекти, които се явяват пречка пред конкуренцията.</w:t>
                  </w:r>
                </w:p>
                <w:p w14:paraId="0249ABC2"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4)</w:t>
                  </w:r>
                  <w:r w:rsidRPr="00A65DAF">
                    <w:rPr>
                      <w:rFonts w:ascii="Times New Roman" w:hAnsi="Times New Roman"/>
                      <w:sz w:val="24"/>
                      <w:szCs w:val="24"/>
                      <w:lang w:val="bg-BG"/>
                    </w:rPr>
                    <w:tab/>
                    <w:t>Финансирането засяга търговията между държавите-членки. При условие, че всички критерии по-горе са изпълнени, но финансирането не застрашава конкуренцията на общностния пазар, правилата за държавна помощ не се прилагат. Такъв е случая на „местни дейности“ или общинска инфраструктура (с локален ефект), които може да се считат, че не засягат търговията в рамките на общността дори ако тя бъде експлоатирана с търговска цел. За целта трябва да се докаже, че дейностите са изцяло или преобладаващо) предназначени за използване от местното население и липсва ефект върху пазарите и потребителите от съседните държави членки.</w:t>
                  </w:r>
                </w:p>
                <w:p w14:paraId="5F4EDBF6" w14:textId="2E857F19"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Отпусканите средства по Мярка 7.2 „</w:t>
                  </w:r>
                  <w:r>
                    <w:rPr>
                      <w:rFonts w:ascii="Times New Roman" w:hAnsi="Times New Roman"/>
                      <w:sz w:val="24"/>
                      <w:szCs w:val="24"/>
                      <w:lang w:val="bg-BG"/>
                    </w:rPr>
                    <w:t>Подкрепа за и</w:t>
                  </w:r>
                  <w:r w:rsidRPr="00A65DAF">
                    <w:rPr>
                      <w:rFonts w:ascii="Times New Roman" w:hAnsi="Times New Roman"/>
                      <w:sz w:val="24"/>
                      <w:szCs w:val="24"/>
                      <w:lang w:val="bg-BG"/>
                    </w:rPr>
                    <w:t>нвестиции в създаването, подобряването или разширяването на всички видове малка по мащаби инфраструктура</w:t>
                  </w:r>
                  <w:r>
                    <w:rPr>
                      <w:rFonts w:ascii="Times New Roman" w:hAnsi="Times New Roman"/>
                      <w:sz w:val="24"/>
                      <w:szCs w:val="24"/>
                      <w:lang w:val="bg-BG"/>
                    </w:rPr>
                    <w:t>, включително инвестиции в енергия от възобновяеми източници и спестяване на енергии</w:t>
                  </w:r>
                  <w:r w:rsidRPr="00A65DAF">
                    <w:rPr>
                      <w:rFonts w:ascii="Times New Roman" w:hAnsi="Times New Roman"/>
                      <w:sz w:val="24"/>
                      <w:szCs w:val="24"/>
                      <w:lang w:val="bg-BG"/>
                    </w:rPr>
                    <w:t>“ от Стратегията за ВОМР на МИГ „</w:t>
                  </w:r>
                  <w:r>
                    <w:rPr>
                      <w:rFonts w:ascii="Times New Roman" w:hAnsi="Times New Roman"/>
                      <w:sz w:val="24"/>
                      <w:szCs w:val="24"/>
                      <w:lang w:val="bg-BG"/>
                    </w:rPr>
                    <w:t>Костинброд-Своге</w:t>
                  </w:r>
                  <w:r w:rsidRPr="00A65DAF">
                    <w:rPr>
                      <w:rFonts w:ascii="Times New Roman" w:hAnsi="Times New Roman"/>
                      <w:sz w:val="24"/>
                      <w:szCs w:val="24"/>
                      <w:lang w:val="bg-BG"/>
                    </w:rPr>
                    <w:t xml:space="preserve">“ ще бъдат предоставяни в режим „непомощ“ за част от подпомаганите дейности. За другата част от дейностите е допусната възможност за предоставянето на средства в режим: „непомощ“ или „помощ“. </w:t>
                  </w:r>
                </w:p>
                <w:p w14:paraId="6F5945D5"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Финансовото подпомагане няма да представлява „държавна помощ“ по смисъла на чл. 107, параграф 1 от ДФЕС за следните дейности, допустими за финансиране по процедурата:</w:t>
                  </w:r>
                </w:p>
                <w:p w14:paraId="4ED8E893"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lastRenderedPageBreak/>
                    <w:t>1.</w:t>
                  </w:r>
                  <w:r w:rsidRPr="00A65DAF">
                    <w:rPr>
                      <w:rFonts w:ascii="Times New Roman" w:hAnsi="Times New Roman"/>
                      <w:sz w:val="24"/>
                      <w:szCs w:val="24"/>
                      <w:lang w:val="bg-BG"/>
                    </w:rPr>
                    <w:tab/>
                    <w:t xml:space="preserve">Дейност 1: Строителство, реконструкция и/или рехабилитация на нови и съществуващи общински пътища, улици, тротоари и съоръженията и принадлежностите към тях; </w:t>
                  </w:r>
                </w:p>
                <w:p w14:paraId="725F3454"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2.</w:t>
                  </w:r>
                  <w:r w:rsidRPr="00A65DAF">
                    <w:rPr>
                      <w:rFonts w:ascii="Times New Roman" w:hAnsi="Times New Roman"/>
                      <w:sz w:val="24"/>
                      <w:szCs w:val="24"/>
                      <w:lang w:val="bg-BG"/>
                    </w:rPr>
                    <w:tab/>
                    <w:t xml:space="preserve">Дейност 2: Изграждане, реконструкция и/или рехабилитация на водоснабдителни системи и съоръжения в агломерации с под 2 000 е. ж. в селските райони; </w:t>
                  </w:r>
                </w:p>
                <w:p w14:paraId="49676E0E"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3.</w:t>
                  </w:r>
                  <w:r w:rsidRPr="00A65DAF">
                    <w:rPr>
                      <w:rFonts w:ascii="Times New Roman" w:hAnsi="Times New Roman"/>
                      <w:sz w:val="24"/>
                      <w:szCs w:val="24"/>
                      <w:lang w:val="bg-BG"/>
                    </w:rPr>
                    <w:tab/>
                    <w:t xml:space="preserve">Дейност 3: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 </w:t>
                  </w:r>
                </w:p>
                <w:p w14:paraId="1FF5EC86"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4.</w:t>
                  </w:r>
                  <w:r w:rsidRPr="00A65DAF">
                    <w:rPr>
                      <w:rFonts w:ascii="Times New Roman" w:hAnsi="Times New Roman"/>
                      <w:sz w:val="24"/>
                      <w:szCs w:val="24"/>
                      <w:lang w:val="bg-BG"/>
                    </w:rPr>
                    <w:tab/>
                    <w:t>Дейност 5: Реконструкция и/или ремонт на общински сгради, в които се предоставят обществени услуги, с цел подобряване на тяхната енергийна ефективност;</w:t>
                  </w:r>
                </w:p>
                <w:p w14:paraId="387F9790"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5.</w:t>
                  </w:r>
                  <w:r w:rsidRPr="00A65DAF">
                    <w:rPr>
                      <w:rFonts w:ascii="Times New Roman" w:hAnsi="Times New Roman"/>
                      <w:sz w:val="24"/>
                      <w:szCs w:val="24"/>
                      <w:lang w:val="bg-BG"/>
                    </w:rPr>
                    <w:tab/>
                    <w:t>Дейност 8: Реконструкция, ремонт, оборудване и/или обзавеждане на общинска образователна инфраструктура с местно значение в селските райони.</w:t>
                  </w:r>
                </w:p>
                <w:p w14:paraId="11E642B6"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Финансовото подпомагане може да бъде предоставено в два режима: „непомощ“ и „помощ“ за следните дейности, допустими за финансиране по процедурата:</w:t>
                  </w:r>
                </w:p>
                <w:p w14:paraId="4999F9F6" w14:textId="77777777" w:rsidR="00A65DAF" w:rsidRPr="00A65DAF" w:rsidRDefault="00A65DAF" w:rsidP="00A65DAF">
                  <w:pPr>
                    <w:spacing w:after="120" w:line="276" w:lineRule="auto"/>
                    <w:jc w:val="both"/>
                    <w:rPr>
                      <w:rFonts w:ascii="Times New Roman" w:hAnsi="Times New Roman"/>
                      <w:sz w:val="24"/>
                      <w:szCs w:val="24"/>
                      <w:lang w:val="bg-BG"/>
                    </w:rPr>
                  </w:pPr>
                </w:p>
                <w:p w14:paraId="331734E6"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1.</w:t>
                  </w:r>
                  <w:r w:rsidRPr="00A65DAF">
                    <w:rPr>
                      <w:rFonts w:ascii="Times New Roman" w:hAnsi="Times New Roman"/>
                      <w:sz w:val="24"/>
                      <w:szCs w:val="24"/>
                      <w:lang w:val="bg-BG"/>
                    </w:rPr>
                    <w:tab/>
                    <w:t>Дейност 4: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14:paraId="1C552FED"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2.</w:t>
                  </w:r>
                  <w:r w:rsidRPr="00A65DAF">
                    <w:rPr>
                      <w:rFonts w:ascii="Times New Roman" w:hAnsi="Times New Roman"/>
                      <w:sz w:val="24"/>
                      <w:szCs w:val="24"/>
                      <w:lang w:val="bg-BG"/>
                    </w:rPr>
                    <w:tab/>
                    <w:t>Дейност 6: Изграждане, реконструкция, ремонт, оборудване и/или обзавеждане на спортна инфраструктура;</w:t>
                  </w:r>
                </w:p>
                <w:p w14:paraId="0B1C5ECF"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3.</w:t>
                  </w:r>
                  <w:r w:rsidRPr="00A65DAF">
                    <w:rPr>
                      <w:rFonts w:ascii="Times New Roman" w:hAnsi="Times New Roman"/>
                      <w:sz w:val="24"/>
                      <w:szCs w:val="24"/>
                      <w:lang w:val="bg-BG"/>
                    </w:rPr>
                    <w:tab/>
                    <w:t>Дейност 7: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14:paraId="5A6DD82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lastRenderedPageBreak/>
                    <w:t xml:space="preserve">Финансовото подпомагане по процедурата за дейности от 1-8 няма да представлява „държавна помощ“ при следните случаи и поради изброените основания: </w:t>
                  </w:r>
                </w:p>
                <w:p w14:paraId="430A4FC5"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Мерките, които предвиждат изграждане/реконструкция/рехабилитация/обновяване на инфраструктура, която ще бъде обществено достъпна и няма да бъде експлоатирана по икономически начин и съответно няма да бъде предоставяна за управление и ползване на предприятия, не представляват държавна помощ. Дейностите по Мярка 7.2. не представляват държавна помощ, когато не застрашават да нарушат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които засягат търговията между държавите-членки на ЕС.</w:t>
                  </w:r>
                </w:p>
                <w:p w14:paraId="7DA31F37"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Комисията е счела, че някои мерки за публични финансирания на инфраструктура не са в състояние да засегнат търговията между държавите членки, по-специално за местна или общинска инфраструктура, дори ако тя може да бъде експлоатирана с търговска цел. Характеристика от значение при тези случаи е предимно местните региони на обслужване, както и доказателства, че е малко вероятно трансграничните инвестиции да бъдат засегнати повече от незначително от такива мерки (т. 210 от Известие на Комисията относно понятието за държавна помощ, посочено в член 107, § 1 от Договора за функционирането на Европейския съюз 2016/C 262/01, наричано по-натам „Известие на Комисията“).</w:t>
                  </w:r>
                </w:p>
                <w:p w14:paraId="75F17B56"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Допустимите по мярката дейности са насочени към задоволяване на основни потребности на местното население. Те са с локално въздействие и ефектът им се простира единствено върху територията на МИГ – в случая територията на общините Симитли, Кресна и Струмяни, на публични органи или организации, за изпълнение на функции определени със закон,  която не може да окаже влияние върху търговията в държавите членки. </w:t>
                  </w:r>
                </w:p>
                <w:p w14:paraId="4C1583E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При финансиране на проект, включващ само нестопански (неикономически) дейности и изпълняван от получатели публични органи или лице регистрирано по реда на Закона за юридическите лица с нестопанска цел, или по Закона за народните читалища, когато изпълняват дейност, представляваща задача, която е част от основните функции на държавата или е свързана с тези функции по естеството си, </w:t>
                  </w:r>
                  <w:r w:rsidRPr="00A65DAF">
                    <w:rPr>
                      <w:rFonts w:ascii="Times New Roman" w:hAnsi="Times New Roman"/>
                      <w:sz w:val="24"/>
                      <w:szCs w:val="24"/>
                      <w:lang w:val="bg-BG"/>
                    </w:rPr>
                    <w:lastRenderedPageBreak/>
                    <w:t xml:space="preserve">целта си и разпоредбите, на които подлежи, не се прилагат чл. 107 и 108 от Договора за функционирането на Европейския съюз. </w:t>
                  </w:r>
                </w:p>
                <w:p w14:paraId="70724A3F"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Когато изброените получатели осъществяват едновременно икономическа и неикономическа дейност, тe могат да се разглежда като получатели на държавна помощ или минимална помощ само по отношение на икономическите им дейности, при условие че:</w:t>
                  </w:r>
                </w:p>
                <w:p w14:paraId="6B975376"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 xml:space="preserve">икономическата и неикономическата дейност са напълно отделени финансово-счетоводно по отношение на активите, пасивите, приходите и разходите от дейностите, и/или </w:t>
                  </w:r>
                </w:p>
                <w:p w14:paraId="2769CA62"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е налице фактическо обособяване на съответните дейности чрез отделен субект (чл. 20 ал. 3 от Закон за държавните помощи).</w:t>
                  </w:r>
                </w:p>
                <w:p w14:paraId="2085D677"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Съгласно т. 203 от Известие на Комисията относно понятието за държавна помощ, посочено в чл. 107, §1 от ДФЕС (2016/С 262/01),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Това се отнася например за инфраструктура, която се използва за дейности, които държавата извършва обикновено, когато упражнява своите публични правомощия или която не се използва за предлагане на стоки или услуги на определен пазар (например пътища, достъпни за публично ползване).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w:t>
                  </w:r>
                </w:p>
                <w:p w14:paraId="498143EF"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Когато подпомагането е в режим „непомощ“ общината не може да предоставя под наем сградите и обектите, за които ще бъде предоставена финансова помощ за този вид дейност или под друга форма да ги ползва по икономически начин. Следва да се има предвид, че според т. 207 от Известие на Комисията при смесено използване на инфраструктурата и в случай че същата се използва почти изключително за нестопанска дейност, нейното финансиране може да попадне изцяло извън правилата за държавни помощи. Това е допустимо при условие, че стопанското използване е само спомагателно, т.е. дейност, която е пряко свързана и необходима за експлоатацията на инфраструктурата или неразривно свързана с нейната основна </w:t>
                  </w:r>
                  <w:r w:rsidRPr="00A65DAF">
                    <w:rPr>
                      <w:rFonts w:ascii="Times New Roman" w:hAnsi="Times New Roman"/>
                      <w:sz w:val="24"/>
                      <w:szCs w:val="24"/>
                      <w:lang w:val="bg-BG"/>
                    </w:rPr>
                    <w:lastRenderedPageBreak/>
                    <w:t xml:space="preserve">нестопанска употреба и обхватът на спомагателните стопански дейности трябва да остава ограничен спрямо капацитета на инфраструктурата.  </w:t>
                  </w:r>
                </w:p>
                <w:p w14:paraId="7F180435"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Освен това Комисията счита, че публичното финансиране, предоставено за обичайни съоръжения (например ресторанти, магазини или платен паркинг) на инфраструктурата, които се използват почти изключително за нестопанска дейност, обикновено не оказва влияние върху търговията между държавите членки, тъй като тези обичайни съоръжения е малко вероятно да привлекат клиенти от други държави членки и тяхното финансиране е малко вероятно да окаже повече от пренебрежим ефект върху трансграничните инвестиции или установяване.</w:t>
                  </w:r>
                </w:p>
                <w:p w14:paraId="5766640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Инвестициите, финансирани по процедурата, ще се проектират и изграждат, а оборудването ще се закупува от изпълнители, определени по реда на ЗОП, чрез провеждането на открити, прозрачни, достатъчно добре разгласени, недискриминационни и безусловни процедури, по отношение на които, ДФЗ осъществява предварителен и последващ контрол за законосъобразност. В останалите случаи получателите на финансова помощ е необходимо да прилагат Постановление №160/2016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които не са възложители по смисъла на ЗОП, която също е предмет на последващ контрол от финансиращия орган. </w:t>
                  </w:r>
                </w:p>
                <w:p w14:paraId="0E186DA3"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В този смисъл, на ниво изпълнители подпомагането също не може да създаде риск за конкуренцията на пазара, тъй като не води до създаване на предимство за определен изпълнител по смисъла на чл. 107, параграф 1 от Договора за функциониране на ЕС. </w:t>
                  </w:r>
                </w:p>
                <w:p w14:paraId="5A32BAD0"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В допълнение, финансирането по изброените по-долу дейности не се третира като държавна помощ по-настоящата процедура и поради следните конкретни основания:</w:t>
                  </w:r>
                </w:p>
                <w:p w14:paraId="6735AB0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Дейност 1: Строителство, реконструкция и/или рехабилитация на нови и съществуващи общински пътища, улици, тротоари и съоръженията и принадлежностите към тях:</w:t>
                  </w:r>
                </w:p>
                <w:p w14:paraId="10EF3A36"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Това са дейности по строителство (изграждане), реконструкция и/или рехабилитация на общодостъпна инфраструктура като общински пътища, уличната мрежа, тротоари, </w:t>
                  </w:r>
                  <w:r w:rsidRPr="00A65DAF">
                    <w:rPr>
                      <w:rFonts w:ascii="Times New Roman" w:hAnsi="Times New Roman"/>
                      <w:sz w:val="24"/>
                      <w:szCs w:val="24"/>
                      <w:lang w:val="bg-BG"/>
                    </w:rPr>
                    <w:lastRenderedPageBreak/>
                    <w:t>велосипедни алеи и др., които няма да бъдат експлоатирани по икономически начин. Инфраструктурата се използва по неикономически начин - тя е общодостъпна и се ползва безвъзмездно, когато общината не реализира приходи от управлението или ползването й, или ако реализира приходи от тази инфраструктура, те са в резултат на дейност, която е неделима и спомагателна спрямо неикономическата. Приходите от стопанска дейност от ползването на улиците в общия случай са пренебрежително малки спрямо неикономическата дейност. Съгласно разпоредбите на Съобщение на Комисията за понятието за държавна помощ съгласно чл. 107, параграф 1 от ДФЕС - публичното финансиране на инфраструктура, която не е предвидена за търговска експлоатация, се изключва от приложението на правилата за държавна помощ (съгласно точка 203 от Известие на Комисията).</w:t>
                  </w:r>
                </w:p>
                <w:p w14:paraId="4498D719"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В този случай безвъзмездната финансова помощ по настоящите Условия за кандидатстване не представлява държавна помощ, тъй като общините действат в качеството си на публични органи, като собственици на улиците и не представляват предприятия по смисъла на чл. 107 от Договора за функциониране на ЕС. Случаите на осъществяване на спомагателна стопанска дейност не променя установената хипотеза на липса на държавна помощ, тъй като основната функция на получателя е запазена и по същество той не се явява предприятие. </w:t>
                  </w:r>
                </w:p>
                <w:p w14:paraId="3680BDBD"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Финансовото подпомагане по Дейност 1 от настоящата процедура не представлява „държавна помощ” по смисъла на чл. 107, параграф 1 от ДФЕС.</w:t>
                  </w:r>
                </w:p>
                <w:p w14:paraId="03FBC57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Дейност 2: Изграждане, реконструкция и/или рехабилитация на водоснабдителни системи и съоръжения в агломерации с под 2 000 е. ж. в селските райони:</w:t>
                  </w:r>
                </w:p>
                <w:p w14:paraId="6CD33CD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Съгласно практиката на ЕС, докато експлоатацията на мрежи за водоснабдяване и канализация  представлява стопанска дейност, самото изграждане на всеобхватна мрежа за водоснабдяване и канализация обикновено отговаря на условията, посочени в т. 211 от Известието (когато  инфраструктурата не среща пряка конкуренция от други инфраструктури от същия вид или други инфраструктури от различен вид, предлагащи услуги със значителна степен на заменяемост, или пряко с такива услуги. Липсата на пряка конкуренция между инфраструктурите е най-характерна за широко обхватните мрежови инфраструктури, които са естествени монополи, т.е. чието дублиране би било икономически нецелесъобразно) и поради това неговото </w:t>
                  </w:r>
                  <w:r w:rsidRPr="00A65DAF">
                    <w:rPr>
                      <w:rFonts w:ascii="Times New Roman" w:hAnsi="Times New Roman"/>
                      <w:sz w:val="24"/>
                      <w:szCs w:val="24"/>
                      <w:lang w:val="bg-BG"/>
                    </w:rPr>
                    <w:lastRenderedPageBreak/>
                    <w:t>финансиране обикновено не нарушава конкуренцията или не засяга търговията между държавите членки. За да е възможно цялото публично финансиране на даден проект да попадне извън приложното поле на правилата за държавни помощи, държавите членки трябва да гарантират, че финансирането, предоставено за изграждането на инфраструктура, не може да се използва за кръстосано субсидиране или за непряко субсидиране на други стопански дейности, включително за управление на инфраструктурата (т. 212 от Известие на Комисията).</w:t>
                  </w:r>
                </w:p>
                <w:p w14:paraId="7ED229C5" w14:textId="1010B075"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Собствеността на ВиК системите и съоръженията, за които може да бъде получено подпомагане по настоящата процедура, е публична общинска. Дейността по изграждането, стопанисването и управлението на ВиК системите е във връзка с изпълнение на публичните функции на държавата и общините, възложени им със закон (Закон за водите, ЗРВКУ). </w:t>
                  </w:r>
                </w:p>
                <w:p w14:paraId="5F995BC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ВиК отрасъла е от обществен интерес и предоставянето на услугите не облагодетелства избирателно конкретно предприятие или сектор. Възлагането на строителните дейности на ВиК инфраструктурата става чрез конкурс – обществена поръчка, осигуряващ конкуренция между изпълнителите, равен достъп на кандидатите и публичност при изразходването на финансовия ресурс. По настоящата процедура е допустимо финансиране на водоснабдителни системи и съоръжения в много малки населени места – агломерации с под 2 000 е. ж., от което е видно че става въпрос за инфраструктура с ограничено местно значение, което изключва възможността да бъде повлияно неблагоприятно на конкуренцията и пазарните взаимоотношения между страните – членки (т. 210 от Известието на Комисията). </w:t>
                  </w:r>
                </w:p>
                <w:p w14:paraId="1962F32E"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Общината като собственик на съоръженията води отделно счетоводство за стопанските си дейности, ако осъществява такива, а ВиК операторите, които управляват ВиК инфраструктурата имат нормативно определено задължение да водят отделна счетоводна отчетност за всяка дейност предмет на ценово регулиране. Следователно  подпомагането не може да се използва за кръстосано субсидиране или за непряко субсидиране на други стопански дейности, включително за управлението на инфраструктурата, а само за нейното изграждане. </w:t>
                  </w:r>
                </w:p>
                <w:p w14:paraId="0417F84B"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lastRenderedPageBreak/>
                    <w:t>След извършване на инвестицията, стойността на финансовото подпомагане за нея не следва да бъде калкулирана от оператора на услугата в цената на предоставената услуга.</w:t>
                  </w:r>
                </w:p>
                <w:p w14:paraId="269CFAC9"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При и след изпълнение на проекта,  съответствието с изискването за водене на отделна счетоводна отчетност и за недопускане на кръстосано субсидиране или непряко субсидиране на други стопански дейности ще бъде контролирано от финансиращия орган и МИГ. </w:t>
                  </w:r>
                </w:p>
                <w:p w14:paraId="6F4DCAEE"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Решението на национално ниво относно приложимия режим по държавни помощи за ВиК сектора, което не е финализирано, е че финансирането с публични средства на инфраструктурата в отрасъл водоснабдяване и канализация попада извън обхвата на държавните помощи, по смисъла на чл. 107, параграф 1 от ДФЕС. </w:t>
                  </w:r>
                </w:p>
                <w:p w14:paraId="166F0B7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Кандидатите следва да имат предвид, че Държавен фонд „Земеделие“ може да подписва договори за предоставяне на финансова помощ за тази дейност след получаване на позиция на Европейската комисия и влизане в сила на решението на национално ниво.</w:t>
                  </w:r>
                </w:p>
                <w:p w14:paraId="3D17A993"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Финансовото подпомагане по допустима дейност 2 от настоящата процедура не представлява „държавна помощ“ по смисъла на чл. 107, параграф 1 от ДФЕС.</w:t>
                  </w:r>
                </w:p>
                <w:p w14:paraId="4FD141F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Дейност 3: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14:paraId="29DCB192"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Съгласно понятието за площи за широко обществено ползване по настоящите Условия за кандидатстване ще се финансират - паркове, градини, улично озеленяване, площади и др. Собствеността на тези обекти е публична общинска. Обектите няма да бъдат експлоатирани по икономически начин. Инфраструктурата се използва по неикономически начин, когато общината не реализира приходи от управлението или ползването й, или ако реализира приходи от тази инфраструктура, те са в резултат на дейност, която е неделима и спомагателна спрямо неикономическата. Приходите от стопанска дейност от ползването на парковете или площадите в общия случай са пренебрежително малки спрямо неикономическата дейност. Съгласно разпоредбите на Съобщение на Комисията за понятието за държавна помощ съгласно чл. 107, </w:t>
                  </w:r>
                  <w:r w:rsidRPr="00A65DAF">
                    <w:rPr>
                      <w:rFonts w:ascii="Times New Roman" w:hAnsi="Times New Roman"/>
                      <w:sz w:val="24"/>
                      <w:szCs w:val="24"/>
                      <w:lang w:val="bg-BG"/>
                    </w:rPr>
                    <w:lastRenderedPageBreak/>
                    <w:t>параграф 1 от ДФЕС - публичното финансиране на инфраструктура, която не е предвидена за търговска експлоатация, се изключва от приложението на правилата за държавна помощ. Инфраструктурата, за която се предоставя безвъзмездна финансова помощ е с отворен достъп и няма да се експлоатира по икономически начин.</w:t>
                  </w:r>
                </w:p>
                <w:p w14:paraId="1294E5CA"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В този случай безвъзмездната финансова помощ по настоящите Условия за кандидатстване не представлява държавна помощ, тъй като общините действат в качеството си на публични органи, като собственици на парковете, градините, улично озеленяване и др. и не представляват предприятия по смисъла на чл. 107 от Договора за функциониране на ЕС. Случаите на осъществяване на спомагателна стопанска дейност не променя установената хипотеза на липса на държавна помощ, тъй като основната функция на получателя е запазена и по същество той не се явява предприятие. Освен това в този случай се прехвърля ресурс от един публичен орган към друг.</w:t>
                  </w:r>
                </w:p>
                <w:p w14:paraId="75402F40"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По настоящите Условия за кандидатстване се предоставя безвъзмездна финансова помощ за малка по размери инфраструктура, която е разположена в селските райони и има локален ефект предимно за местно население и не застрашава да засегне търговията между държавите-членки.</w:t>
                  </w:r>
                </w:p>
                <w:p w14:paraId="3A61A54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Това са дейности по изграждане на общодостъпна инфраструктура, тъй като при тях е предвидено с безвъзмездната финансова помощ да се финансира само обществена инфраструктура с отворен достъп, която няма да генерира приходи и да се експлоатира по икономически начин.</w:t>
                  </w:r>
                </w:p>
                <w:p w14:paraId="4F0E9EE3"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Дейност 5: Реконструкция и/или ремонт на общински сгради, в които се предоставят обществени услуги, с цел подобряване на тяхната енергийна ефективност:</w:t>
                  </w:r>
                </w:p>
                <w:p w14:paraId="7EF23B3C"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По отношение на интервенциите за енергийна ефективност в общински сгради, в които се предоставят обществени услуги, подпомагането им не попада в обхвата на правилата за държавните помощи. Финансовото подпомагане ще се предоставя за сгради, които са публична собственост и се ползват от посочените органи (администрации) за обичайната им управленска/регулаторна дейност, която е с неикономически характер. В определението на интервенцията изрично е дефинирано, че са допустими сгради, в които се предоставят „обществени услуги“. </w:t>
                  </w:r>
                </w:p>
                <w:p w14:paraId="2DD765A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lastRenderedPageBreak/>
                    <w:t>За да бъде приложим режим „непомощ“ спрямо финансиране на публични сгради, обекти и инфраструктура, следва същите да бъдат използвани по неикономически начин, като отдаването под наем на сгради и обекти е само една от възможностите за използването им по икономически начин. Съгласно практиката на Европейската комисия и СЕС, представени в Известие на Комисията относно понятието за държавна помощ, посочено в чл. 107, § 1 от ДФЕС (2016/С 262/01),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(т.203 и сл.). Видно от т. 207 от Известието, при смесено използване на инфраструктурата и в случай, че същата се използва почти изключително за нестопанска дейност, нейното финансиране може да попадне изцяло извън правилата за държавни помощи. Това е допустимо при условие, че стопанското използване е само спомагателно, а публичното финансиране, предоставено за обичайни съоръжения (например: ресторанти, магазини или платен паркинг) на инфраструктурата, които се използват почти изключително за нестопанска дейност, обикновено не оказва влияние върху търговията между държавите членки.</w:t>
                  </w:r>
                </w:p>
                <w:p w14:paraId="3B63B76C"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Финансовото подпомагане по допустима Дейност 5 от настоящата процедура не представлява „държавна помощ“ по смисъла на чл. 107, параграф 1 от ДФЕС.</w:t>
                  </w:r>
                </w:p>
                <w:p w14:paraId="7B807875"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Дейност 8: Реконструкция, ремонт, оборудване и/или обзавеждане на общинска образователна инфраструктура с местно значение в селските райони:</w:t>
                  </w:r>
                </w:p>
                <w:p w14:paraId="0A9A12A0"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В рамките на тази дейност се подпомага само публична инфраструктура, предназначена за функционирането на институциите от системата на образованието, финансирана чрез общинския бюджет, в която не се извършва икономическа дейност. Общинската образователна инфраструктура е част от общественото образование организирано в рамките на националната образователна система. Съгласно Закона за предучилищното и училищното образование (ЗПУО), предучилищното образование над 4 годишна възраст и училищното образование до навършване на 16 годишна възраст са задължителни. Съгласно чл. 9 от ЗПУО задължителното предучилищно и училищно образование в държавните и в общинските детски градини и училища е безплатно за децата и учениците. За него не се заплащат такси и материалната база се ползва безплатно. Съгласно чл. 8 от същия закон, държавата и общините се задължават </w:t>
                  </w:r>
                  <w:r w:rsidRPr="00A65DAF">
                    <w:rPr>
                      <w:rFonts w:ascii="Times New Roman" w:hAnsi="Times New Roman"/>
                      <w:sz w:val="24"/>
                      <w:szCs w:val="24"/>
                      <w:lang w:val="bg-BG"/>
                    </w:rPr>
                    <w:lastRenderedPageBreak/>
                    <w:t>да осигурят условия за обхват на децата в детските градини и групите за предучилищно образование. Общинските недвижими имоти, предоставени за управление на общинските училища, детски градини и центрове за подкрепа за личностно развитие, са публична общинска собственост (чл. 302 от ЗПУО). Както се вижда от нормативната база, местните власти са отговорни за предоставянето на образователни услуги в общинските детски градини, училищата и центрове за подкрепа. На общините е възложено от държавата чрез закон да осигуряват и контролират средствата за издръжката, изграждането, обзавеждането и основния ремонт на тези обекти. В този смисъл обслужването на общинската образователна инфраструктура е възложено със закон на общините в качеството им на регулаторен орган, не представлява икономическа дейност и те не отговарят на определението за предприятие. Съгласно т.28 от Известие на Комисията, обществено образование, организирано в рамките на националната образователна система и контролирано от държавата, може да се счита за нестопанска дейност, когато държавата, 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 културната и образователната сфера. Според съдебната практика на ЕС неикономическото естество на общественото образование по принцип не се засяга от факта, че учениците или техните родители понякога трябва да заплатят такси за обучение или записване, които подпомагат оперативните разходи на системата. Тези финансови вноски често обхващат само малка част от реалните разходи за услугата и затова не могат да бъдат смятани за възнаграждение за предоставената услуга. Следователно те не променят неикономическия характер на образователната услуга, която се финансира предимно с публични средства.</w:t>
                  </w:r>
                </w:p>
                <w:p w14:paraId="53C929D0"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На последно място в самата дефиниция на допустимата дейност е посочено че става въпрос за финансиране на общинска образователна инфраструктура с местно значение, което изключва приложимостта на чл. 107 от ДФЕС по отношение на възможност за влияние на помощта върху търговията с държавите – членки. </w:t>
                  </w:r>
                </w:p>
                <w:p w14:paraId="6755F869"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Финансовото подпомагане по допустима Дейност 8 от настоящата процедура не представлява „държавна помощ“ по смисъла на чл. 107, параграф 1 от ДФЕС.</w:t>
                  </w:r>
                </w:p>
                <w:p w14:paraId="6827CAE7" w14:textId="77777777" w:rsidR="00A65DAF" w:rsidRPr="00A65DAF" w:rsidRDefault="00A65DAF" w:rsidP="00A65DAF">
                  <w:pPr>
                    <w:spacing w:after="120" w:line="276" w:lineRule="auto"/>
                    <w:jc w:val="both"/>
                    <w:rPr>
                      <w:rFonts w:ascii="Times New Roman" w:hAnsi="Times New Roman"/>
                      <w:sz w:val="24"/>
                      <w:szCs w:val="24"/>
                      <w:lang w:val="bg-BG"/>
                    </w:rPr>
                  </w:pPr>
                </w:p>
                <w:p w14:paraId="599FFC4C"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При попълване на секция 5 „Бюджет“ във Формуляра за кандидатстване в ИСУН 2020, кандидатите следва да въведат всеки от разходите за тези дейности в режим „Неприложимо“ (т.е. непомощ). Категорията „непомощ“ следва да бъде отразена и в колона „приложим режим на държавни помощи“ от Таблицата за допустимите инвестиции дейности (ТДИД). </w:t>
                  </w:r>
                </w:p>
                <w:p w14:paraId="699EDD87" w14:textId="77777777" w:rsidR="00A65DAF" w:rsidRPr="00A65DAF" w:rsidRDefault="00A65DAF" w:rsidP="00A65DAF">
                  <w:pPr>
                    <w:spacing w:after="120" w:line="276" w:lineRule="auto"/>
                    <w:jc w:val="both"/>
                    <w:rPr>
                      <w:rFonts w:ascii="Times New Roman" w:hAnsi="Times New Roman"/>
                      <w:sz w:val="24"/>
                      <w:szCs w:val="24"/>
                      <w:lang w:val="bg-BG"/>
                    </w:rPr>
                  </w:pPr>
                </w:p>
                <w:p w14:paraId="0EA56FCB"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Финансовото подпомагане по настоящата процедура за дейност 4, 6 и 7 няма да представлява „държавна помощ“ по смисъла на чл. 107, параграф 1 от ДФЕС от настоящия раздел в следните случаи и на изброените основания: </w:t>
                  </w:r>
                </w:p>
                <w:p w14:paraId="7BBE79DC"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Интервенцията има изключително локално въздействие и е предназначена за ползване основно от населението в границите на населени места от общината от територията на МИГ.</w:t>
                  </w:r>
                </w:p>
                <w:p w14:paraId="5555F930"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Комисията е установила, случаи  в които подпомагането има чисто местно въздействие и следователно не оказва въздействие върху търговията между държавите членки. Това са случаите, в които бенефициентът доставя стоки и услуги в ограничен район на дадена държава-член и е малко вероятно да привлече клиенти от други държави членки и мярката няма влияние върху условията на трансграничните инвестиции (съгласно т. 196 от Известие на Комисията).</w:t>
                  </w:r>
                </w:p>
                <w:p w14:paraId="5E458179" w14:textId="036C143D"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В рамките на СВОМР на МИГ „</w:t>
                  </w:r>
                  <w:r w:rsidR="00BB61C1">
                    <w:rPr>
                      <w:rFonts w:ascii="Times New Roman" w:hAnsi="Times New Roman"/>
                      <w:sz w:val="24"/>
                      <w:szCs w:val="24"/>
                      <w:lang w:val="bg-BG"/>
                    </w:rPr>
                    <w:t>Костинброд-Своге</w:t>
                  </w:r>
                  <w:r w:rsidRPr="00A65DAF">
                    <w:rPr>
                      <w:rFonts w:ascii="Times New Roman" w:hAnsi="Times New Roman"/>
                      <w:sz w:val="24"/>
                      <w:szCs w:val="24"/>
                      <w:lang w:val="bg-BG"/>
                    </w:rPr>
                    <w:t xml:space="preserve">“ и настоящата процедура се предоставя безвъзмездна финансова помощ за малка по размери инфраструктура, която е разположена в общините </w:t>
                  </w:r>
                  <w:r w:rsidR="00BB61C1">
                    <w:rPr>
                      <w:rFonts w:ascii="Times New Roman" w:hAnsi="Times New Roman"/>
                      <w:sz w:val="24"/>
                      <w:szCs w:val="24"/>
                      <w:lang w:val="bg-BG"/>
                    </w:rPr>
                    <w:t>Костинброд и Своге</w:t>
                  </w:r>
                  <w:r w:rsidRPr="00A65DAF">
                    <w:rPr>
                      <w:rFonts w:ascii="Times New Roman" w:hAnsi="Times New Roman"/>
                      <w:sz w:val="24"/>
                      <w:szCs w:val="24"/>
                      <w:lang w:val="bg-BG"/>
                    </w:rPr>
                    <w:t>, води до подобряване на условията за живот само на територията на МИГ, има изключително локално въздействие и е предназначена за ползване от местното население, като по никакъв начин не засяга търговията между държавите членки.</w:t>
                  </w:r>
                </w:p>
                <w:p w14:paraId="2B84F366"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В случай на финансово подпомагане само за нестопански дейности от бенефициенти лица, регистрирани по реда на Закона за юридическите лица с нестопанска цел или по </w:t>
                  </w:r>
                  <w:r w:rsidRPr="00A65DAF">
                    <w:rPr>
                      <w:rFonts w:ascii="Times New Roman" w:hAnsi="Times New Roman"/>
                      <w:sz w:val="24"/>
                      <w:szCs w:val="24"/>
                      <w:lang w:val="bg-BG"/>
                    </w:rPr>
                    <w:lastRenderedPageBreak/>
                    <w:t xml:space="preserve">Закона за народните читалища, съгласно чл. 10, ал. 3 от Наредба № 22, чл. 107 и 108 от ДФЕС не се прилагат. </w:t>
                  </w:r>
                </w:p>
                <w:p w14:paraId="267A4DDF"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В допълнение финансирането по изброените по-долу дейности няма да се третира като държавна помощ по-настоящата процедура и при следните конкретни условия:</w:t>
                  </w:r>
                </w:p>
                <w:p w14:paraId="3D0A383B"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Дейност 4: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14:paraId="4C1C0F91"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Финансирането за тази дейност ще представлява „непомощ“ когато:</w:t>
                  </w:r>
                </w:p>
                <w:p w14:paraId="6B8E093C"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 xml:space="preserve">интервенциите са върху публични общински сгради от социалната инфраструктура, която е общинска собственост; </w:t>
                  </w:r>
                </w:p>
                <w:p w14:paraId="430541A7"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социалната инфраструктура е за предоставяне на услуги с неикономически характер;</w:t>
                  </w:r>
                </w:p>
                <w:p w14:paraId="3BB46B13"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 xml:space="preserve">социалната услуга, за която се използва социална инфраструктура, предмет на подпомагане, е финансирана от държавния или от общинския бюджет. </w:t>
                  </w:r>
                </w:p>
                <w:p w14:paraId="137C95B7"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Съгласно законодателството в областта на държавните помощи, натрупаната практика на Съда на ЕС и ЕК, включително и методическите тълкувания и пояснения на последните, когато публичните органи на национално, регионално или местно равнище организират, възлагат или извършват услуги/дейности за задоволяване на потребностите на обществото, същите като цяло се квалифицират като услуги от общ (обществен) интерес. Ако тези услуги се реализират по неикономически начин (извън пазарно), те не са обхванати от правилата на Договора за функциониране на Европейския съюз (ДФЕС), отнасящи се до държавните помощи.</w:t>
                  </w:r>
                </w:p>
                <w:p w14:paraId="2D8850D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Социалното подпомагане и предоставянето на социални услуги са дейности от значителен обществен интерес и са законово регламентирани в Закона за социалните услуги (ЗСУ), Закона за закрила на детето, Закона за социалното подпомагане, Закона за хората с увреждания и др., както и актовете по тяхното прилагане. Съгласно нормативната уредба, осъществяването на политиката в областта на социалното подпомагане е възложено на държавата в лицето на МС, Министърът на труда и социалната политика и Агенцията за социално подпомагане и на общините в лицето </w:t>
                  </w:r>
                  <w:r w:rsidRPr="00A65DAF">
                    <w:rPr>
                      <w:rFonts w:ascii="Times New Roman" w:hAnsi="Times New Roman"/>
                      <w:sz w:val="24"/>
                      <w:szCs w:val="24"/>
                      <w:lang w:val="bg-BG"/>
                    </w:rPr>
                    <w:lastRenderedPageBreak/>
                    <w:t>на кмета и общинския съвет, в качеството им на публични органи на власт. Предмет на подпомагането по настоящата процедура не е предоставяне на самите социалните услуги, а единствено изграждане/ обновяване на инфраструктурата, необходима за тяхното предоставяне. Социалната инфраструктура се използва за предоставяне на социални услуги насочени към уязвими групи – застрашени от социално изключване представители на местното население, приоритетно деца или хора с увреждания и в общия случай не представлява икономическа дейност. Икономическият интерес не би могъл да е водещ в този сектор, където движеща сила са потребностите на всички уязвими групи, които поради различни социални причини нямат възможност да заплатят реалната цена за предоставяната услуга. Намесата на държавата тук е необходима в по-голяма степен, предвид ролята на социалните услуги и тяхното важно значение за социалното включване на хората в уязвимо положение. Съгласно чл. 29 от ЗСУ общината е доставчик на социални услуги. Като доставчик на социални услуги тя не изпълнява икономическа дейност, а действа в качеството си на публичен орган, който провежда социалната политика на своята територия. Общините отговарят за планирането и предоставянето на социалните услуги, финансирани от държавния и общинския бюджет, като могат да ги осигуряват по няколко начина: чрез самостоятелно организиране и изпълнение на всички дейности, свързани с прякото предоставяне на социалните услуги; чрез специално създадени от общината за предоставянето на социалните услуги юридически лица; чрез възлагане на предоставянето на социалните услуги на частни доставчици на социални услуги.</w:t>
                  </w:r>
                </w:p>
                <w:p w14:paraId="61922D42"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В случаите когато държавата или общината е делегирала функциите по предоставяне на социални услуги на частни субекти – доставчици на социални услуги,  това не променя естеството на дейността като неикономическа, тъй като става въпрос за делегирана от държавата дейност и заплащането на тези услуги е от държавния или общинския бюджет, а не от самите доставчици или потребители. Дори когато се събират минимални такси те са в незначителен размер и не са достатъчни за да компенсират дори оперативните разходи за предоставяне на услугата. Разходите за изграждането и поддръжката на материалната инфраструктура, в която се предоставят социалните услуги не могат да бъдат покрити от таксите на потребителите им и не се включват в тях, защото няма да са в рамките на социалната поносимост. Таксите са нормативно определени: размерите на таксите за ползване на социални услуги, </w:t>
                  </w:r>
                  <w:r w:rsidRPr="00A65DAF">
                    <w:rPr>
                      <w:rFonts w:ascii="Times New Roman" w:hAnsi="Times New Roman"/>
                      <w:sz w:val="24"/>
                      <w:szCs w:val="24"/>
                      <w:lang w:val="bg-BG"/>
                    </w:rPr>
                    <w:lastRenderedPageBreak/>
                    <w:t>финансирани от държавния бюджет, се определят с тарифа, одобрена от Министерския съвет по предложение на министъра на труда и социалната политика. Размерите на таксите за ползване на предоставяните от общината социални услуги, които не се финансират от държавния бюджет, се определят от общинския съвет съгласно Закона за местните данъци и такси. Съгласно чл. 43 от ЗСУ стандартът за делегирана от държавата дейност, по който се финансира от държавния бюджет социална услуга, не може да надвишава размера на разходите за нейното предоставяне. Общините и частните доставчици на социални услуги нямат право да получават приходи от предоставянето на социални услуги, които се финансират от държавния бюджет. Възлагането на социални услуги от общините на частни доставчици става по прозрачен начин и на база конкурентен подбор на основание ясно разписана в закона процедура – чрез провеждане на конкурс (чл. 64 ЗСУ). Частният доставчик няма право да използва предоставеното финансиране за други услуги, дейности и разходи извън посочените в договора за възлагане на предоставянето на социалната услуга. Възлагането не променя характера на услугата като частна, тъй като тя продължава да бъде делегирана от държавата дейност или местна дейност.</w:t>
                  </w:r>
                </w:p>
                <w:p w14:paraId="3FDF1F0F"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Дейност 6: Изграждане, реконструкция, ремонт, оборудване и/или обзавеждане на спортна инфраструктура:</w:t>
                  </w:r>
                </w:p>
                <w:p w14:paraId="6DB7535F"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Финансирането по настоящата процедура ще представлява „непомощ“ когато: </w:t>
                  </w:r>
                </w:p>
                <w:p w14:paraId="2D0643F2"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 xml:space="preserve">интервенциите са върху публични общински сгради или терени от спортната инфраструктура, които са общинска собственост; </w:t>
                  </w:r>
                </w:p>
                <w:p w14:paraId="64696C0F"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спорната инфраструктура е за услуги със свободен обществен достъп и с неикономически характер.</w:t>
                  </w:r>
                </w:p>
                <w:p w14:paraId="3B6370CA"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Инфраструктурата се използва по неикономически начин, когато общината не реализира приходи от управлението или ползването ѝ, или ако реализира приходи от тази инфраструктура, те са в резултат на дейност, която е неделима и спомагателна спрямо неикономическата. Публичното финансиране на инфраструктура, която не е предвидена за търговска експлоатация, се изключва от приложението на правилата за държавна помощ. </w:t>
                  </w:r>
                </w:p>
                <w:p w14:paraId="70EABA17"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lastRenderedPageBreak/>
                    <w:t xml:space="preserve">Съгласно т. 197 от Известието на Комисията един от примерите в които Комисията е констатирала, че публичната подкрепа не е била в състояние да засегне търговията между държавите членки, е когото става въпрос за финансиране на спортни и развлекателни съоръжения, обслужващи предимно местна публика с малка вероятност да се привлекат клиенти или инвестиции от други държави членки. </w:t>
                  </w:r>
                </w:p>
                <w:p w14:paraId="77F1F3D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На следващо място не може да бъде предоставено предимство на определено предприятие или сектор когато няма селективност в ползването на публичната инфраструктура – тя може да бъде ползвана без ограничение от всички жители и посетители на съответната община.</w:t>
                  </w:r>
                </w:p>
                <w:p w14:paraId="1824B077"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Дейност 7: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14:paraId="5292769B"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Финансирането по настоящата процедура ще представлява „непомощ“ когато:</w:t>
                  </w:r>
                </w:p>
                <w:p w14:paraId="57DD0D0C"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интервенциите са върху обекти, свързани с културния живот, които са общинска собственост, читалища, музеи и библиотеки, археологически обекти и други сходни обекти, в които се извършват дейности в областта на културата и опазването на културното наследство;</w:t>
                  </w:r>
                </w:p>
                <w:p w14:paraId="564A5F0C"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дейностите в тези културни обекти са организирани по нетърговски начин и са от нестопанско естество;</w:t>
                  </w:r>
                </w:p>
                <w:p w14:paraId="7E2D3974"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Съгласно т. 34 – 37 от Известието някои дейности, свързани с опазването на културното, историческото и природното наследство, могат да бъдат организирани по нетърговски начин и поради това да са от нестопанско естество. Заради това тяхното публично финансиране може да не представлява държавна помощ. Комисията счита, че публичното финансиране на дейностите в областта на културата или за опазване на културното наследство, които са достъпни за обществеността безвъзмездно, преследват чисто социална и културна цел, чието естество е нестопанско. В този смисъл фактът, че от посетителите на културна институция или от участниците в културна дейност или дейност за опазване на културното или историческото наследство, в това число опазването на природата, открита за широката общественост, </w:t>
                  </w:r>
                  <w:r w:rsidRPr="00A65DAF">
                    <w:rPr>
                      <w:rFonts w:ascii="Times New Roman" w:hAnsi="Times New Roman"/>
                      <w:sz w:val="24"/>
                      <w:szCs w:val="24"/>
                      <w:lang w:val="bg-BG"/>
                    </w:rPr>
                    <w:lastRenderedPageBreak/>
                    <w:t>се изисква да плащат някаква сума, която покрива само една малка част от реалните разходи, не променя нестопанското естество на тази дейност, тъй като платената сума не може да се счита за истинско възнаграждение за предоставената услуга.</w:t>
                  </w:r>
                </w:p>
                <w:p w14:paraId="28021F23"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(Обратно – като дейности от стопанско естество могат да бъдат квалифицирани дейностите по опазване на културното или историческото наследство, финансирани предимно чрез такси, събирани от посетителите или от ползвателите, или чрез други търговски средства, както и дейности от които се възползват само някои предприятия, а не широката общественост – напр. реставрация на сграда — паметник на културата, използвана от частно дружество).</w:t>
                  </w:r>
                </w:p>
                <w:p w14:paraId="74714F43"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Освен това много дейности по опазване на културното или историческото наследство обективно са незаменяеми (напр. съхраняването на обществени архиви, съдържащи уникални документи) и поради това изключват наличието на истински пазар. Според Комисията тези дейности също отговарят на критериите за нестопанско естество. </w:t>
                  </w:r>
                </w:p>
                <w:p w14:paraId="39FABD7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В случаите, когато субект извършва дейности по опазване на културното или историческото наследство, някои от които са нестопански, а други от тях са стопански дейности, публичното финансиране, което субектът получава ще попадне в приложното поле на правилата за държавните помощи само доколкото това финансиране обхваща разходи, свързани със стопанските дейности.</w:t>
                  </w:r>
                </w:p>
                <w:p w14:paraId="63436F72"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За тази дейност също е приложимо общото основание изключващо един от критериите за наличие на държавна помощ – локалното значение на съответните обекти, свързани с културния живот. Един от примерите, посочени в т. 197 от Известието на Комисията, когато публичната подкрепа не е била в състояние да засегне търговията между държавите-членки е при финансиране на културни прояви и субекти, извършващи стопански дейности, които обаче е малко вероятно да привлекат ползватели или посетители от сходни оферти в други държави членки.</w:t>
                  </w:r>
                </w:p>
                <w:p w14:paraId="2D1753DD"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Когато са изпълнени горепосочените условия, финансовото подпомагане по Дейности 4, 6 и 7 не представлява „държавна помощ” по смисъла на чл. 107, параграф 1 от ДФЕС.</w:t>
                  </w:r>
                </w:p>
                <w:p w14:paraId="72F90AE4" w14:textId="77777777" w:rsidR="00A65DAF" w:rsidRPr="00A65DAF" w:rsidRDefault="00A65DAF" w:rsidP="00A65DAF">
                  <w:pPr>
                    <w:spacing w:after="120" w:line="276" w:lineRule="auto"/>
                    <w:jc w:val="both"/>
                    <w:rPr>
                      <w:rFonts w:ascii="Times New Roman" w:hAnsi="Times New Roman"/>
                      <w:sz w:val="24"/>
                      <w:szCs w:val="24"/>
                      <w:lang w:val="bg-BG"/>
                    </w:rPr>
                  </w:pPr>
                </w:p>
                <w:p w14:paraId="5723C337"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lastRenderedPageBreak/>
                    <w:t>Определяне на финансовото подпомагане като „помощ“:</w:t>
                  </w:r>
                </w:p>
                <w:p w14:paraId="1204EE86"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Финансовата помощ за инвестиции в социална, културна и спортна инфраструктура (дейности 4, 6 и 7), когато бенефициентът действа като „предприятие“ и извършва икономически дейности и има икономически интерес от инвестицията, ще бъде предоставяна по реда на Регламент (ЕС) 1407/2013 на Комисията от 18 декември 2013 година относно прилагането на членове 107 и 108 от Договора за функционирането на Европейския съюз към помощта de minimis (ОВ L 352 от 24.12.2013 г.), наричан по-нататък „Регламент (ЕС) № 1407/2013“ и ще представлява „минимална помощ“. </w:t>
                  </w:r>
                </w:p>
                <w:p w14:paraId="623F407A"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В този случай се поставя праг, под който се приема, че размерът на помощта не заплашва да деформира конкуренцията и следователно чл. 107, т. 1 от Договора за функционирането на Европейския съюз не се прилага. Минимална е помощта, която поради своя размер не нарушава и не застрашава конкуренцията или има незначително въздействие върху нея и поради това не се счита за държавна помощ по смисъла на чл. 107, т. 1 от Договора за функционирането на Европейския съюз.</w:t>
                  </w:r>
                </w:p>
                <w:p w14:paraId="2F997232"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В тези случаи се прилагат следните правила на Регламент № 1407/2013 и следва да се спазват следните условия:</w:t>
                  </w:r>
                </w:p>
                <w:p w14:paraId="2CBEB4E4"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1.</w:t>
                  </w:r>
                  <w:r w:rsidRPr="00A65DAF">
                    <w:rPr>
                      <w:rFonts w:ascii="Times New Roman" w:hAnsi="Times New Roman"/>
                      <w:sz w:val="24"/>
                      <w:szCs w:val="24"/>
                      <w:lang w:val="bg-BG"/>
                    </w:rPr>
                    <w:tab/>
                    <w:t xml:space="preserve">Регламент № 1407/2013 се прилага за помощите представяни на предприятията от всички сектори с изключение на тези посочени в чл. 1 и определенията за тях в чл. 2, § 1 на Регламента . </w:t>
                  </w:r>
                </w:p>
                <w:p w14:paraId="2B2E68AB"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Когато дадено предприятие упражнява дейност в секторите, посочени в чл.1, параграф 1, букви а), б) или в) от Регламент (ЕС) № 1407/2013, както и в един или повече от секторите или дейностите, обхванати от Регламент (ЕС) № 1407/2013, същият се прилага спрямо помощта, предоставяна за съответните един или повече сектори или дейности, при условие че съответната държава членка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 не се ползват от помощ de minimis, предоставена съгласно Регламент (ЕС) № 1407/2013.</w:t>
                  </w:r>
                </w:p>
                <w:p w14:paraId="2E7239CB"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Не се предоставя безвъзмездна финансова помощ, ако финансирането представлява помощи за дейности, свързани с износ за трети държави или държави членки, по-конкретно помощите, пряко свързани с изнасяните количества, със създаването и </w:t>
                  </w:r>
                  <w:r w:rsidRPr="00A65DAF">
                    <w:rPr>
                      <w:rFonts w:ascii="Times New Roman" w:hAnsi="Times New Roman"/>
                      <w:sz w:val="24"/>
                      <w:szCs w:val="24"/>
                      <w:lang w:val="bg-BG"/>
                    </w:rPr>
                    <w:lastRenderedPageBreak/>
                    <w:t>функционирането на дистрибуторска мрежа или с други текущи разходи, свързани с износа. Предоставянето на помощта не може да е обвързано с преференциалното използване на национални продукти спрямо вносни такива.</w:t>
                  </w:r>
                </w:p>
                <w:p w14:paraId="6F1FFA22"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2.</w:t>
                  </w:r>
                  <w:r w:rsidRPr="00A65DAF">
                    <w:rPr>
                      <w:rFonts w:ascii="Times New Roman" w:hAnsi="Times New Roman"/>
                      <w:sz w:val="24"/>
                      <w:szCs w:val="24"/>
                      <w:lang w:val="bg-BG"/>
                    </w:rPr>
                    <w:tab/>
                    <w:t xml:space="preserve">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автомобилни товарни превози за чужда сметка или срещу възнаграждение, за период от три бюджетни години. Периодът от три бюджетни се отнася до текущата бюджетна година (на кандидатстването за минимална помощ или на сключване на договора за помощ de minimis) и предходните две. </w:t>
                  </w:r>
                </w:p>
                <w:p w14:paraId="38CBDEF1"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Таваните, посочени в чл.3, § 2 от Регламент (ЕС) № 1407/2013, се прилагат независимо от формата на помощта de minimis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w:t>
                  </w:r>
                </w:p>
                <w:p w14:paraId="00348F4F"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Минималната помощ по процедурата следва да съответства напълно на чл.2, §1 и чл.3, § 7 от Регламент (ЕС) № 1407/2013.</w:t>
                  </w:r>
                </w:p>
                <w:p w14:paraId="7B6A6F4F"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За целите на таваните, посочени в т. 2, помощта се изразява като парични безвъзмездни средства. Всички използвани стойности са в брутно изражение, т.е. преди облагане с данъци или други такси. В случаите, в които помощта се отпуска под форма, различна от безвъзмездна помощ, размерът на помощта е брутният еквивалент на безвъзмездна помощ. </w:t>
                  </w:r>
                </w:p>
                <w:p w14:paraId="3D3D30F2"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3.</w:t>
                  </w:r>
                  <w:r w:rsidRPr="00A65DAF">
                    <w:rPr>
                      <w:rFonts w:ascii="Times New Roman" w:hAnsi="Times New Roman"/>
                      <w:sz w:val="24"/>
                      <w:szCs w:val="24"/>
                      <w:lang w:val="bg-BG"/>
                    </w:rPr>
                    <w:tab/>
                    <w:t>Ако дадено предприятие изпълнява автомобилни товарни превози за чужда сметка или срещу възнаграждение, както и ако извършва други дейности, за които се прилага таванът от 200 000 EUR, таванът от 200 000 EUR се прилага за предприятието, при условие че съответната държава членка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EUR и че помощите de minimis не се използват за придобиване на товарни автомобили.</w:t>
                  </w:r>
                </w:p>
                <w:p w14:paraId="6F8B96E4"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lastRenderedPageBreak/>
                    <w:t>4.</w:t>
                  </w:r>
                  <w:r w:rsidRPr="00A65DAF">
                    <w:rPr>
                      <w:rFonts w:ascii="Times New Roman" w:hAnsi="Times New Roman"/>
                      <w:sz w:val="24"/>
                      <w:szCs w:val="24"/>
                      <w:lang w:val="bg-BG"/>
                    </w:rPr>
                    <w:tab/>
                    <w:t xml:space="preserve">Помощта се смята за отпусната от момента на подписване на договор за предоставяне на финансова помощ, независимо от датата на помощта de minimis.  </w:t>
                  </w:r>
                </w:p>
                <w:p w14:paraId="5928A702"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5.</w:t>
                  </w:r>
                  <w:r w:rsidRPr="00A65DAF">
                    <w:rPr>
                      <w:rFonts w:ascii="Times New Roman" w:hAnsi="Times New Roman"/>
                      <w:sz w:val="24"/>
                      <w:szCs w:val="24"/>
                      <w:lang w:val="bg-BG"/>
                    </w:rPr>
                    <w:tab/>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079BCD13"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предприятието кандидат;</w:t>
                  </w:r>
                </w:p>
                <w:p w14:paraId="7F17011B"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предприятията, с които предприятието кандидат образува „едно и също предприятие“   по смисъла на чл. 2, § 2 на Регламент (ЕС) № 1407/2013;</w:t>
                  </w:r>
                </w:p>
                <w:p w14:paraId="3092534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 8 на Регламент (ЕС) № 1407/2013;</w:t>
                  </w:r>
                </w:p>
                <w:p w14:paraId="7891CF57"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 9 от Регламент (ЕС) № 1407/2013.</w:t>
                  </w:r>
                </w:p>
                <w:p w14:paraId="0CCC22D0"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6.</w:t>
                  </w:r>
                  <w:r w:rsidRPr="00A65DAF">
                    <w:rPr>
                      <w:rFonts w:ascii="Times New Roman" w:hAnsi="Times New Roman"/>
                      <w:sz w:val="24"/>
                      <w:szCs w:val="24"/>
                      <w:lang w:val="bg-BG"/>
                    </w:rPr>
                    <w:tab/>
                    <w:t>Натрупването на минимални помощи в рамките на едно и също предприятие е съгласно разпоредбите на чл. 5 на Регламент (ЕС) № 1407/2013:</w:t>
                  </w:r>
                </w:p>
                <w:p w14:paraId="0E602FC0"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(ЕС)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§2 на Регламент (ЕС) № 1407/2013. </w:t>
                  </w:r>
                </w:p>
                <w:p w14:paraId="1B14965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w:t>
                  </w:r>
                  <w:r w:rsidRPr="00A65DAF">
                    <w:rPr>
                      <w:rFonts w:ascii="Times New Roman" w:hAnsi="Times New Roman"/>
                      <w:sz w:val="24"/>
                      <w:szCs w:val="24"/>
                      <w:lang w:val="bg-BG"/>
                    </w:rPr>
                    <w:tab/>
                    <w:t xml:space="preserve">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w:t>
                  </w:r>
                  <w:r w:rsidRPr="00A65DAF">
                    <w:rPr>
                      <w:rFonts w:ascii="Times New Roman" w:hAnsi="Times New Roman"/>
                      <w:sz w:val="24"/>
                      <w:szCs w:val="24"/>
                      <w:lang w:val="bg-BG"/>
                    </w:rPr>
                    <w:lastRenderedPageBreak/>
                    <w:t>помощ, предоставена с регламент за групово освобождаване или решение, приети от Комисията.</w:t>
                  </w:r>
                </w:p>
                <w:p w14:paraId="7FD86D4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7.</w:t>
                  </w:r>
                  <w:r w:rsidRPr="00A65DAF">
                    <w:rPr>
                      <w:rFonts w:ascii="Times New Roman" w:hAnsi="Times New Roman"/>
                      <w:sz w:val="24"/>
                      <w:szCs w:val="24"/>
                      <w:lang w:val="bg-BG"/>
                    </w:rPr>
                    <w:tab/>
                    <w:t xml:space="preserve">При определяне на максимално допустимият размер и съответно интензитет на помощта, се взема предвид както размера на минималната помощ, за която се кандидатства, така и общият размер на вече получена минимална помощ за дейности, проект или предприятие (извън тези, за които се кандидатства), независимо от това дали тази подкрепа е финансирана от местни, регионални, национални или общностни източници. </w:t>
                  </w:r>
                </w:p>
                <w:p w14:paraId="2CE54FA7"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8.</w:t>
                  </w:r>
                  <w:r w:rsidRPr="00A65DAF">
                    <w:rPr>
                      <w:rFonts w:ascii="Times New Roman" w:hAnsi="Times New Roman"/>
                      <w:sz w:val="24"/>
                      <w:szCs w:val="24"/>
                      <w:lang w:val="bg-BG"/>
                    </w:rPr>
                    <w:tab/>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14:paraId="742D941B"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9.</w:t>
                  </w:r>
                  <w:r w:rsidRPr="00A65DAF">
                    <w:rPr>
                      <w:rFonts w:ascii="Times New Roman" w:hAnsi="Times New Roman"/>
                      <w:sz w:val="24"/>
                      <w:szCs w:val="24"/>
                      <w:lang w:val="bg-BG"/>
                    </w:rPr>
                    <w:tab/>
                    <w:t>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 – Приложение № 6 от Условията за кандидатстване.</w:t>
                  </w:r>
                </w:p>
                <w:p w14:paraId="1397B2DE"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10.</w:t>
                  </w:r>
                  <w:r w:rsidRPr="00A65DAF">
                    <w:rPr>
                      <w:rFonts w:ascii="Times New Roman" w:hAnsi="Times New Roman"/>
                      <w:sz w:val="24"/>
                      <w:szCs w:val="24"/>
                      <w:lang w:val="bg-BG"/>
                    </w:rPr>
                    <w:tab/>
                    <w:t>Цитираните по-горе условия на Регламента се проверяват на етап административно съответствие и допустимост на проектното предложение.</w:t>
                  </w:r>
                </w:p>
                <w:p w14:paraId="3DB5A73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11.</w:t>
                  </w:r>
                  <w:r w:rsidRPr="00A65DAF">
                    <w:rPr>
                      <w:rFonts w:ascii="Times New Roman" w:hAnsi="Times New Roman"/>
                      <w:sz w:val="24"/>
                      <w:szCs w:val="24"/>
                      <w:lang w:val="bg-BG"/>
                    </w:rPr>
                    <w:tab/>
                    <w:t>За спазването на обстоятелствата се извършва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w:t>
                  </w:r>
                </w:p>
                <w:p w14:paraId="7CDCEE80"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12.</w:t>
                  </w:r>
                  <w:r w:rsidRPr="00A65DAF">
                    <w:rPr>
                      <w:rFonts w:ascii="Times New Roman" w:hAnsi="Times New Roman"/>
                      <w:sz w:val="24"/>
                      <w:szCs w:val="24"/>
                      <w:lang w:val="bg-BG"/>
                    </w:rPr>
                    <w:tab/>
                    <w:t>Периодът, който се проверява във връзка с натропането на минимални помощи, е три бюджетни години. Периодът от три бюджетни години се отнася до текущата бюджетна година (на кандидатстването за минимална помощ или на сключването на договора за помощ de minimis)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w:t>
                  </w:r>
                </w:p>
                <w:p w14:paraId="42B69890"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 xml:space="preserve">Когато помощта е изплащана на траншове, същата се сконтира към стойността й към момента на нейното предоставяне. Лихвеният процент, който се използва за </w:t>
                  </w:r>
                  <w:r w:rsidRPr="00A65DAF">
                    <w:rPr>
                      <w:rFonts w:ascii="Times New Roman" w:hAnsi="Times New Roman"/>
                      <w:sz w:val="24"/>
                      <w:szCs w:val="24"/>
                      <w:lang w:val="bg-BG"/>
                    </w:rPr>
                    <w:lastRenderedPageBreak/>
                    <w:t>сконтиране, е сконтовият процент, приложим към момента на отпускане на помощта (може да бъде намерен на www.stateaid.minfin.bg/bg/page/424).</w:t>
                  </w:r>
                </w:p>
                <w:p w14:paraId="7207B416"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13.</w:t>
                  </w:r>
                  <w:r w:rsidRPr="00A65DAF">
                    <w:rPr>
                      <w:rFonts w:ascii="Times New Roman" w:hAnsi="Times New Roman"/>
                      <w:sz w:val="24"/>
                      <w:szCs w:val="24"/>
                      <w:lang w:val="bg-BG"/>
                    </w:rPr>
                    <w:tab/>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2C949FC9"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13.1.</w:t>
                  </w:r>
                  <w:r w:rsidRPr="00A65DAF">
                    <w:rPr>
                      <w:rFonts w:ascii="Times New Roman" w:hAnsi="Times New Roman"/>
                      <w:sz w:val="24"/>
                      <w:szCs w:val="24"/>
                      <w:lang w:val="bg-BG"/>
                    </w:rPr>
                    <w:tab/>
                    <w:t xml:space="preserve">Последствията при неспазване на т.2 са отказване на помощта, служебно намаляване на помощта или възстановяване на неправомерно получена помощ ведно с дължимите лихви. </w:t>
                  </w:r>
                </w:p>
                <w:p w14:paraId="5CC2BC2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13.2.</w:t>
                  </w:r>
                  <w:r w:rsidRPr="00A65DAF">
                    <w:rPr>
                      <w:rFonts w:ascii="Times New Roman" w:hAnsi="Times New Roman"/>
                      <w:sz w:val="24"/>
                      <w:szCs w:val="24"/>
                      <w:lang w:val="bg-BG"/>
                    </w:rPr>
                    <w:tab/>
                    <w:t>Когато в хода на оценката на проекта КППП установи, че с предоставяне на БФП, за която се кандидатства по процедурата ще бъде надвишен таванът за получената минимална помощ по Регламент (ЕС) №1407/2013 за три бюджетни години, тя намалява размера на безвъзмездната помощ и съответно интензитета до максимално допустимия. Намаляването се извършва след получаване на съгласието на кандидата.  Намалението се прехвърля като сума в лева към собствения принос на кандидата. В случай че допълнителна информация и съгласие от кандидата не бъдат получени помощта ще бъде отказана.</w:t>
                  </w:r>
                </w:p>
                <w:p w14:paraId="35B93814"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14.</w:t>
                  </w:r>
                  <w:r w:rsidRPr="00A65DAF">
                    <w:rPr>
                      <w:rFonts w:ascii="Times New Roman" w:hAnsi="Times New Roman"/>
                      <w:sz w:val="24"/>
                      <w:szCs w:val="24"/>
                      <w:lang w:val="bg-BG"/>
                    </w:rPr>
                    <w:tab/>
                    <w:t xml:space="preserve">Преди сключване на договор за предоставяне на безвъзмездна финансова помощ, Държавен фонд „Земеделие“ прилага подходящи контролни механизми, които да гарантират изпълнението на всички приложими условия на Регламент (ЕС) № 1407/2013, включително ще извършва документална проверка на декларираните данни от одобрените кандидати в Декларацията за държавни/минимални помощи. </w:t>
                  </w:r>
                </w:p>
                <w:p w14:paraId="1DA9202C"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15.</w:t>
                  </w:r>
                  <w:r w:rsidRPr="00A65DAF">
                    <w:rPr>
                      <w:rFonts w:ascii="Times New Roman" w:hAnsi="Times New Roman"/>
                      <w:sz w:val="24"/>
                      <w:szCs w:val="24"/>
                      <w:lang w:val="bg-BG"/>
                    </w:rPr>
                    <w:tab/>
                    <w:t>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Информационната система „Регистър на минималните помощи“.</w:t>
                  </w:r>
                </w:p>
                <w:p w14:paraId="7C4407B4"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16.</w:t>
                  </w:r>
                  <w:r w:rsidRPr="00A65DAF">
                    <w:rPr>
                      <w:rFonts w:ascii="Times New Roman" w:hAnsi="Times New Roman"/>
                      <w:sz w:val="24"/>
                      <w:szCs w:val="24"/>
                      <w:lang w:val="bg-BG"/>
                    </w:rPr>
                    <w:tab/>
                    <w:t xml:space="preserve">В договора за безвъзмездна финансова помощ, се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w:t>
                  </w:r>
                  <w:r w:rsidRPr="00A65DAF">
                    <w:rPr>
                      <w:rFonts w:ascii="Times New Roman" w:hAnsi="Times New Roman"/>
                      <w:sz w:val="24"/>
                      <w:szCs w:val="24"/>
                      <w:lang w:val="bg-BG"/>
                    </w:rPr>
                    <w:lastRenderedPageBreak/>
                    <w:t>неправомерно предоставена помощ по реда на Данъчно-осигурителния процесуален кодекс.</w:t>
                  </w:r>
                </w:p>
                <w:p w14:paraId="58E88EC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17.</w:t>
                  </w:r>
                  <w:r w:rsidRPr="00A65DAF">
                    <w:rPr>
                      <w:rFonts w:ascii="Times New Roman" w:hAnsi="Times New Roman"/>
                      <w:sz w:val="24"/>
                      <w:szCs w:val="24"/>
                      <w:lang w:val="bg-BG"/>
                    </w:rPr>
                    <w:tab/>
                    <w:t>Възстановяването на неправомерно получена минимална помощ се извършва по реда на чл.37 от Закона за държавните помощи (ЗДП). Не се разрешава предоставяне на нова минимална/държавна помощ на предприятие, което не е изпълнило решение на Европейската комисия за възстановяване на неправомерно предоставена минимална/държавна помощ и не е възстановило изцяло неправомерно получената минимална/държавна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14:paraId="6CBA7B60" w14:textId="3B210D61"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18.</w:t>
                  </w:r>
                  <w:r w:rsidRPr="00A65DAF">
                    <w:rPr>
                      <w:rFonts w:ascii="Times New Roman" w:hAnsi="Times New Roman"/>
                      <w:sz w:val="24"/>
                      <w:szCs w:val="24"/>
                      <w:lang w:val="bg-BG"/>
                    </w:rPr>
                    <w:tab/>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от датата, на която е предоставена последната индивидуална помощ по схемата и да я предоставя при поискване в срок от 5 работни дни на МИГ „</w:t>
                  </w:r>
                  <w:r w:rsidR="00BB61C1">
                    <w:rPr>
                      <w:rFonts w:ascii="Times New Roman" w:hAnsi="Times New Roman"/>
                      <w:sz w:val="24"/>
                      <w:szCs w:val="24"/>
                      <w:lang w:val="bg-BG"/>
                    </w:rPr>
                    <w:t>Костинброд-Своге</w:t>
                  </w:r>
                  <w:r w:rsidRPr="00A65DAF">
                    <w:rPr>
                      <w:rFonts w:ascii="Times New Roman" w:hAnsi="Times New Roman"/>
                      <w:sz w:val="24"/>
                      <w:szCs w:val="24"/>
                      <w:lang w:val="bg-BG"/>
                    </w:rPr>
                    <w:t>“ или на Държавен фонд „Земеделие“.</w:t>
                  </w:r>
                </w:p>
                <w:p w14:paraId="491C0138"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Кандидатите за финансиране на дейности 3, 5 и 6 определят вида на подпомагането за което кандидатстват, на база условията, описани в настоящия раздел и попълват секция 5 от бюджета в ИСУН 2020 в режим „Неприложимо“, / т.е. „непомощ“/ или в режим на помощ „de minimis“, в зависимост от вида му. Съответстващия режим се отразява и в Таблицата за допустимите инвестиции и дейности. Всеки проект, включващ тези дейности, ще бъде оценяван индивидуално дали отговаря на изискванията за „помощ“ или „непомощ“.</w:t>
                  </w:r>
                </w:p>
                <w:p w14:paraId="5267982F" w14:textId="77777777" w:rsidR="00A65DAF" w:rsidRPr="00A65DAF" w:rsidRDefault="00A65DAF" w:rsidP="00A65DAF">
                  <w:pPr>
                    <w:spacing w:after="120" w:line="276" w:lineRule="auto"/>
                    <w:jc w:val="both"/>
                    <w:rPr>
                      <w:rFonts w:ascii="Times New Roman" w:hAnsi="Times New Roman"/>
                      <w:sz w:val="24"/>
                      <w:szCs w:val="24"/>
                      <w:lang w:val="bg-BG"/>
                    </w:rPr>
                  </w:pPr>
                  <w:r w:rsidRPr="00A65DAF">
                    <w:rPr>
                      <w:rFonts w:ascii="Times New Roman" w:hAnsi="Times New Roman"/>
                      <w:sz w:val="24"/>
                      <w:szCs w:val="24"/>
                      <w:lang w:val="bg-BG"/>
                    </w:rPr>
                    <w:t>Допълнителна информация относно общите правила на приложимото право в областта на държавните помощи може да бъде открита на интернет страницата на Министерство на финансите http://stateaid.minfin.bg/.</w:t>
                  </w:r>
                </w:p>
                <w:p w14:paraId="6DBDCD0C" w14:textId="1548509F" w:rsidR="00590630" w:rsidRPr="00CD49E7" w:rsidRDefault="00A65DAF" w:rsidP="00BB61C1">
                  <w:pPr>
                    <w:spacing w:after="120" w:line="276" w:lineRule="auto"/>
                    <w:jc w:val="both"/>
                    <w:rPr>
                      <w:rFonts w:ascii="Times New Roman" w:eastAsiaTheme="minorHAnsi" w:hAnsi="Times New Roman"/>
                      <w:b/>
                      <w:color w:val="5B9BD5" w:themeColor="accent1"/>
                      <w:sz w:val="24"/>
                      <w:szCs w:val="24"/>
                      <w:lang w:val="bg-BG"/>
                    </w:rPr>
                  </w:pPr>
                  <w:r w:rsidRPr="00A65DAF">
                    <w:rPr>
                      <w:rFonts w:ascii="Times New Roman" w:hAnsi="Times New Roman"/>
                      <w:sz w:val="24"/>
                      <w:szCs w:val="24"/>
                      <w:lang w:val="bg-BG"/>
                    </w:rPr>
                    <w:t>Моля, да имате предвид, че след публикуване на Условията за кандидатстване по настоящата процедура от МИГ „</w:t>
                  </w:r>
                  <w:r w:rsidR="00BB61C1">
                    <w:rPr>
                      <w:rFonts w:ascii="Times New Roman" w:hAnsi="Times New Roman"/>
                      <w:sz w:val="24"/>
                      <w:szCs w:val="24"/>
                      <w:lang w:val="bg-BG"/>
                    </w:rPr>
                    <w:t>Костинброд-Своге</w:t>
                  </w:r>
                  <w:r w:rsidRPr="00A65DAF">
                    <w:rPr>
                      <w:rFonts w:ascii="Times New Roman" w:hAnsi="Times New Roman"/>
                      <w:sz w:val="24"/>
                      <w:szCs w:val="24"/>
                      <w:lang w:val="bg-BG"/>
                    </w:rPr>
                    <w:t xml:space="preserve">“ не са допустими изменения, </w:t>
                  </w:r>
                  <w:r w:rsidRPr="00A65DAF">
                    <w:rPr>
                      <w:rFonts w:ascii="Times New Roman" w:hAnsi="Times New Roman"/>
                      <w:sz w:val="24"/>
                      <w:szCs w:val="24"/>
                      <w:lang w:val="bg-BG"/>
                    </w:rPr>
                    <w:lastRenderedPageBreak/>
                    <w:t>които могат да повлияят на съответствието на процедурата с изискванията на Регламент на Комисията (ЕС) № 1407/2013.</w:t>
                  </w:r>
                </w:p>
              </w:tc>
            </w:tr>
          </w:tbl>
          <w:p w14:paraId="5CED70B8" w14:textId="77777777" w:rsidR="00B575B0" w:rsidRPr="009D0B76" w:rsidRDefault="00B575B0" w:rsidP="009D0B76">
            <w:pPr>
              <w:spacing w:line="276" w:lineRule="auto"/>
              <w:ind w:firstLine="567"/>
              <w:contextualSpacing/>
              <w:jc w:val="both"/>
              <w:rPr>
                <w:rFonts w:ascii="Times New Roman" w:eastAsiaTheme="minorHAnsi" w:hAnsi="Times New Roman"/>
                <w:b/>
                <w:sz w:val="24"/>
                <w:szCs w:val="24"/>
              </w:rPr>
            </w:pPr>
          </w:p>
        </w:tc>
      </w:tr>
      <w:tr w:rsidR="004A60F9" w:rsidRPr="009D0B76" w14:paraId="09C418F0" w14:textId="77777777" w:rsidTr="00621947">
        <w:tc>
          <w:tcPr>
            <w:tcW w:w="10760" w:type="dxa"/>
            <w:gridSpan w:val="3"/>
            <w:shd w:val="clear" w:color="auto" w:fill="auto"/>
          </w:tcPr>
          <w:p w14:paraId="4D14BF10" w14:textId="77777777" w:rsidR="00E0721A" w:rsidRDefault="00E0721A" w:rsidP="009D0B76">
            <w:pPr>
              <w:spacing w:after="0" w:line="276" w:lineRule="auto"/>
              <w:jc w:val="both"/>
              <w:rPr>
                <w:rFonts w:ascii="Times New Roman" w:eastAsiaTheme="minorHAnsi" w:hAnsi="Times New Roman"/>
                <w:b/>
                <w:sz w:val="24"/>
                <w:szCs w:val="24"/>
              </w:rPr>
            </w:pPr>
          </w:p>
          <w:p w14:paraId="2FF29ED5" w14:textId="77777777" w:rsidR="00590630" w:rsidRPr="009D0B76" w:rsidRDefault="00590630" w:rsidP="009D0B76">
            <w:pPr>
              <w:spacing w:after="0" w:line="276" w:lineRule="auto"/>
              <w:jc w:val="both"/>
              <w:rPr>
                <w:rFonts w:ascii="Times New Roman" w:eastAsiaTheme="minorHAnsi" w:hAnsi="Times New Roman"/>
                <w:b/>
                <w:sz w:val="24"/>
                <w:szCs w:val="24"/>
              </w:rPr>
            </w:pPr>
          </w:p>
        </w:tc>
      </w:tr>
    </w:tbl>
    <w:p w14:paraId="42FD7492" w14:textId="77777777" w:rsidR="004A60F9" w:rsidRPr="009D0B76" w:rsidRDefault="00E0721A"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color w:val="5B9BD5" w:themeColor="accent1"/>
          <w:sz w:val="24"/>
          <w:szCs w:val="24"/>
        </w:rPr>
        <w:t>17.Хоризонтални политики: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4A60F9" w:rsidRPr="009D0B76" w14:paraId="47699B2D" w14:textId="77777777" w:rsidTr="00F32C39">
        <w:tc>
          <w:tcPr>
            <w:tcW w:w="9062" w:type="dxa"/>
            <w:shd w:val="clear" w:color="auto" w:fill="auto"/>
          </w:tcPr>
          <w:p w14:paraId="106DE686" w14:textId="77777777" w:rsidR="004A60F9" w:rsidRPr="009D0B76" w:rsidRDefault="004A60F9"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Подходът ВОМР се прилага при спазване на хоризонталните принципи на политиката за изпълнение на ЕСИФ.</w:t>
            </w:r>
          </w:p>
          <w:p w14:paraId="63316238" w14:textId="77777777" w:rsidR="004A60F9" w:rsidRPr="009D0B76" w:rsidRDefault="004A60F9"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По настоящата процедура следва да е налице съответствие на проектните предложения с поне един от следните принципи на хоризонталните политики на ЕС:</w:t>
            </w:r>
          </w:p>
          <w:p w14:paraId="7891D961" w14:textId="77777777" w:rsidR="004A60F9" w:rsidRPr="009D0B76" w:rsidRDefault="004A60F9"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1. Равенство между половете и липса на дискриминация - прилагане на принципа на равенство между половете;</w:t>
            </w:r>
            <w:r w:rsidRPr="009D0B76">
              <w:rPr>
                <w:rFonts w:ascii="Times New Roman" w:eastAsiaTheme="minorHAnsi" w:hAnsi="Times New Roman"/>
                <w:sz w:val="24"/>
                <w:szCs w:val="24"/>
              </w:rPr>
              <w:tab/>
              <w:t xml:space="preserve">  допринасяне за утвърждаване на принципа на равните възможности и  създаване на условия за превенция на дискриминацията.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w:t>
            </w:r>
          </w:p>
          <w:p w14:paraId="0E4D52AE" w14:textId="77777777" w:rsidR="004A60F9" w:rsidRPr="009D0B76" w:rsidRDefault="004A60F9" w:rsidP="009D0B76">
            <w:pPr>
              <w:spacing w:after="0" w:line="276" w:lineRule="auto"/>
              <w:jc w:val="both"/>
              <w:rPr>
                <w:rFonts w:ascii="Times New Roman" w:eastAsiaTheme="minorHAnsi" w:hAnsi="Times New Roman"/>
                <w:sz w:val="24"/>
                <w:szCs w:val="24"/>
                <w:lang w:val="en-US"/>
              </w:rPr>
            </w:pPr>
            <w:r w:rsidRPr="009D0B76">
              <w:rPr>
                <w:rFonts w:ascii="Times New Roman" w:eastAsiaTheme="minorHAnsi" w:hAnsi="Times New Roman"/>
                <w:sz w:val="24"/>
                <w:szCs w:val="24"/>
              </w:rPr>
              <w:t xml:space="preserve">2. Устойчиво развитие (защита на околната среда)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tc>
      </w:tr>
    </w:tbl>
    <w:p w14:paraId="3972EF81" w14:textId="77777777" w:rsidR="00F32C39" w:rsidRPr="009D0B76" w:rsidRDefault="00F32C39" w:rsidP="009D0B76">
      <w:pPr>
        <w:spacing w:after="0" w:line="276" w:lineRule="auto"/>
        <w:jc w:val="both"/>
        <w:rPr>
          <w:rFonts w:ascii="Times New Roman" w:eastAsiaTheme="minorHAnsi" w:hAnsi="Times New Roman"/>
          <w:b/>
          <w:sz w:val="24"/>
          <w:szCs w:val="24"/>
        </w:rPr>
      </w:pPr>
    </w:p>
    <w:p w14:paraId="095AFFC2" w14:textId="77777777" w:rsidR="002A18A5" w:rsidRPr="009D0B76" w:rsidRDefault="002A18A5" w:rsidP="009D0B76">
      <w:pPr>
        <w:spacing w:after="0" w:line="276" w:lineRule="auto"/>
        <w:jc w:val="both"/>
        <w:rPr>
          <w:rFonts w:ascii="Times New Roman" w:eastAsiaTheme="minorHAnsi" w:hAnsi="Times New Roman"/>
          <w:b/>
          <w:color w:val="5B9BD5" w:themeColor="accent1"/>
          <w:sz w:val="24"/>
          <w:szCs w:val="24"/>
          <w:lang w:val="en-US"/>
        </w:rPr>
      </w:pPr>
    </w:p>
    <w:p w14:paraId="03126B6E" w14:textId="77777777" w:rsidR="00590630" w:rsidRDefault="00590630" w:rsidP="009D0B76">
      <w:pPr>
        <w:spacing w:after="0" w:line="276" w:lineRule="auto"/>
        <w:jc w:val="both"/>
        <w:rPr>
          <w:rFonts w:ascii="Times New Roman" w:eastAsiaTheme="minorHAnsi" w:hAnsi="Times New Roman"/>
          <w:b/>
          <w:color w:val="5B9BD5" w:themeColor="accent1"/>
          <w:sz w:val="24"/>
          <w:szCs w:val="24"/>
        </w:rPr>
      </w:pPr>
    </w:p>
    <w:p w14:paraId="74B0060B" w14:textId="77777777" w:rsidR="004469BF" w:rsidRPr="009D0B76" w:rsidRDefault="004469BF"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color w:val="5B9BD5" w:themeColor="accent1"/>
          <w:sz w:val="24"/>
          <w:szCs w:val="24"/>
        </w:rPr>
        <w:t>18.Минимален и максимален срок за изпълнение на проекта (ако е приложимо):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F32C39" w:rsidRPr="009D0B76" w14:paraId="6147453E" w14:textId="77777777" w:rsidTr="003E7EE4">
        <w:tc>
          <w:tcPr>
            <w:tcW w:w="10760" w:type="dxa"/>
            <w:shd w:val="clear" w:color="auto" w:fill="auto"/>
          </w:tcPr>
          <w:p w14:paraId="1FE4BED9" w14:textId="77777777" w:rsidR="00FC7E94" w:rsidRPr="009D0B76" w:rsidRDefault="00E3356E"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Одобреното прое</w:t>
            </w:r>
            <w:r w:rsidR="009844C4" w:rsidRPr="009D0B76">
              <w:rPr>
                <w:rFonts w:ascii="Times New Roman" w:eastAsiaTheme="minorHAnsi" w:hAnsi="Times New Roman"/>
                <w:sz w:val="24"/>
                <w:szCs w:val="24"/>
              </w:rPr>
              <w:t>ктно предложение се изпълнява до</w:t>
            </w:r>
            <w:r w:rsidRPr="009D0B76">
              <w:rPr>
                <w:rFonts w:ascii="Times New Roman" w:eastAsiaTheme="minorHAnsi" w:hAnsi="Times New Roman"/>
                <w:sz w:val="24"/>
                <w:szCs w:val="24"/>
              </w:rPr>
              <w:t xml:space="preserve"> 24 месеца от датат</w:t>
            </w:r>
            <w:r w:rsidR="009844C4" w:rsidRPr="009D0B76">
              <w:rPr>
                <w:rFonts w:ascii="Times New Roman" w:eastAsiaTheme="minorHAnsi" w:hAnsi="Times New Roman"/>
                <w:sz w:val="24"/>
                <w:szCs w:val="24"/>
              </w:rPr>
              <w:t>а</w:t>
            </w:r>
            <w:r w:rsidRPr="009D0B76">
              <w:rPr>
                <w:rFonts w:ascii="Times New Roman" w:eastAsiaTheme="minorHAnsi" w:hAnsi="Times New Roman"/>
                <w:sz w:val="24"/>
                <w:szCs w:val="24"/>
              </w:rPr>
              <w:t xml:space="preserve"> на</w:t>
            </w:r>
            <w:r w:rsidR="009844C4" w:rsidRPr="009D0B76">
              <w:rPr>
                <w:rFonts w:ascii="Times New Roman" w:eastAsiaTheme="minorHAnsi" w:hAnsi="Times New Roman"/>
                <w:sz w:val="24"/>
                <w:szCs w:val="24"/>
              </w:rPr>
              <w:t xml:space="preserve"> подписването на административни</w:t>
            </w:r>
            <w:r w:rsidRPr="009D0B76">
              <w:rPr>
                <w:rFonts w:ascii="Times New Roman" w:eastAsiaTheme="minorHAnsi" w:hAnsi="Times New Roman"/>
                <w:sz w:val="24"/>
                <w:szCs w:val="24"/>
              </w:rPr>
              <w:t>я договор за предоставяне на безвъзмездната финансова помощ с ДФЗ-РА</w:t>
            </w:r>
            <w:r w:rsidR="00FC7E94" w:rsidRPr="009D0B76">
              <w:rPr>
                <w:rFonts w:ascii="Times New Roman" w:eastAsiaTheme="minorHAnsi" w:hAnsi="Times New Roman"/>
                <w:sz w:val="24"/>
                <w:szCs w:val="24"/>
              </w:rPr>
              <w:t>.</w:t>
            </w:r>
          </w:p>
          <w:p w14:paraId="257A5623" w14:textId="77777777" w:rsidR="00F32C39" w:rsidRPr="009D0B76" w:rsidRDefault="00E3356E"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sz w:val="24"/>
                <w:szCs w:val="24"/>
              </w:rPr>
              <w:t xml:space="preserve"> </w:t>
            </w:r>
            <w:r w:rsidR="00F32C39" w:rsidRPr="009D0B76">
              <w:rPr>
                <w:rFonts w:ascii="Times New Roman" w:eastAsiaTheme="minorHAnsi" w:hAnsi="Times New Roman"/>
                <w:sz w:val="24"/>
                <w:szCs w:val="24"/>
              </w:rPr>
              <w:t xml:space="preserve">Крайният срок за изпълнение на дейностите по проектите към стратегия за ВОМР, финансирани от ЕЗФРСР, </w:t>
            </w:r>
            <w:r w:rsidR="00563F7C" w:rsidRPr="009D0B76">
              <w:rPr>
                <w:rFonts w:ascii="Times New Roman" w:eastAsiaTheme="minorHAnsi" w:hAnsi="Times New Roman"/>
                <w:sz w:val="24"/>
                <w:szCs w:val="24"/>
              </w:rPr>
              <w:t>е до 2023 г.</w:t>
            </w:r>
          </w:p>
        </w:tc>
      </w:tr>
    </w:tbl>
    <w:p w14:paraId="06385523" w14:textId="77777777" w:rsidR="00F32C39" w:rsidRPr="009D0B76" w:rsidRDefault="00F32C39" w:rsidP="009D0B76">
      <w:pPr>
        <w:spacing w:after="0" w:line="276" w:lineRule="auto"/>
        <w:jc w:val="both"/>
        <w:rPr>
          <w:rFonts w:ascii="Times New Roman" w:eastAsiaTheme="minorHAnsi" w:hAnsi="Times New Roman"/>
          <w:b/>
          <w:sz w:val="24"/>
          <w:szCs w:val="24"/>
        </w:rPr>
      </w:pPr>
    </w:p>
    <w:p w14:paraId="3A26CBA0" w14:textId="77777777" w:rsidR="007D0BC1" w:rsidRPr="009D0B76" w:rsidRDefault="007D0BC1" w:rsidP="009D0B76">
      <w:pPr>
        <w:spacing w:after="0" w:line="276" w:lineRule="auto"/>
        <w:jc w:val="both"/>
        <w:rPr>
          <w:rFonts w:ascii="Times New Roman" w:eastAsiaTheme="minorHAnsi" w:hAnsi="Times New Roman"/>
          <w:b/>
          <w:color w:val="5B9BD5" w:themeColor="accent1"/>
          <w:sz w:val="24"/>
          <w:szCs w:val="24"/>
        </w:rPr>
      </w:pPr>
    </w:p>
    <w:p w14:paraId="7D5E7D88" w14:textId="77777777" w:rsidR="004F36A5" w:rsidRPr="009D0B76" w:rsidRDefault="004F36A5"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color w:val="5B9BD5" w:themeColor="accent1"/>
          <w:sz w:val="24"/>
          <w:szCs w:val="24"/>
        </w:rPr>
        <w:t>19.Ред за оценяване на концепциите за проектни предложения</w:t>
      </w:r>
      <w:r w:rsidRPr="009D0B76">
        <w:rPr>
          <w:rFonts w:ascii="Times New Roman" w:eastAsiaTheme="minorHAnsi" w:hAnsi="Times New Roman"/>
          <w:color w:val="5B9BD5" w:themeColor="accent1"/>
          <w:sz w:val="24"/>
          <w:szCs w:val="24"/>
        </w:rPr>
        <w:footnoteReference w:id="1"/>
      </w:r>
      <w:r w:rsidRPr="009D0B76">
        <w:rPr>
          <w:rFonts w:ascii="Times New Roman" w:eastAsiaTheme="minorHAnsi" w:hAnsi="Times New Roman"/>
          <w:b/>
          <w:color w:val="5B9BD5" w:themeColor="accen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F32C39" w:rsidRPr="009D0B76" w14:paraId="5E34FF14" w14:textId="77777777" w:rsidTr="003E7EE4">
        <w:tc>
          <w:tcPr>
            <w:tcW w:w="10760" w:type="dxa"/>
            <w:shd w:val="clear" w:color="auto" w:fill="auto"/>
          </w:tcPr>
          <w:p w14:paraId="2D02C464" w14:textId="77777777" w:rsidR="00F32C39" w:rsidRPr="009D0B76" w:rsidRDefault="00F32C39"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lastRenderedPageBreak/>
              <w:t>Н</w:t>
            </w:r>
            <w:r w:rsidR="007D0BC1" w:rsidRPr="009D0B76">
              <w:rPr>
                <w:rFonts w:ascii="Times New Roman" w:eastAsiaTheme="minorHAnsi" w:hAnsi="Times New Roman"/>
                <w:sz w:val="24"/>
                <w:szCs w:val="24"/>
              </w:rPr>
              <w:t>еприложимо</w:t>
            </w:r>
          </w:p>
        </w:tc>
      </w:tr>
    </w:tbl>
    <w:p w14:paraId="322A786F" w14:textId="77777777" w:rsidR="00F32C39" w:rsidRPr="009D0B76" w:rsidRDefault="00F32C39" w:rsidP="009D0B76">
      <w:pPr>
        <w:spacing w:after="0" w:line="276" w:lineRule="auto"/>
        <w:jc w:val="both"/>
        <w:rPr>
          <w:rFonts w:ascii="Times New Roman" w:eastAsiaTheme="minorHAnsi" w:hAnsi="Times New Roman"/>
          <w:b/>
          <w:sz w:val="24"/>
          <w:szCs w:val="24"/>
        </w:rPr>
      </w:pPr>
    </w:p>
    <w:p w14:paraId="225B0FD2" w14:textId="77777777" w:rsidR="004F36A5" w:rsidRPr="009D0B76" w:rsidRDefault="004F36A5"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color w:val="5B9BD5" w:themeColor="accent1"/>
          <w:sz w:val="24"/>
          <w:szCs w:val="24"/>
        </w:rPr>
        <w:t>20.Критерии и методика за оценка на концепциите за проектни предложения</w:t>
      </w:r>
      <w:r w:rsidRPr="009D0B76">
        <w:rPr>
          <w:rFonts w:ascii="Times New Roman" w:eastAsiaTheme="minorHAnsi" w:hAnsi="Times New Roman"/>
          <w:color w:val="5B9BD5" w:themeColor="accent1"/>
          <w:sz w:val="24"/>
          <w:szCs w:val="24"/>
        </w:rPr>
        <w:footnoteReference w:id="2"/>
      </w:r>
      <w:r w:rsidRPr="009D0B76">
        <w:rPr>
          <w:rFonts w:ascii="Times New Roman" w:eastAsiaTheme="minorHAnsi" w:hAnsi="Times New Roman"/>
          <w:b/>
          <w:color w:val="5B9BD5" w:themeColor="accen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F32C39" w:rsidRPr="009D0B76" w14:paraId="6E9C6630" w14:textId="77777777" w:rsidTr="003E7EE4">
        <w:tc>
          <w:tcPr>
            <w:tcW w:w="10760" w:type="dxa"/>
            <w:shd w:val="clear" w:color="auto" w:fill="auto"/>
          </w:tcPr>
          <w:p w14:paraId="1A7AA86F" w14:textId="77777777" w:rsidR="00F32C39" w:rsidRPr="009D0B76" w:rsidRDefault="00F32C39"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Н</w:t>
            </w:r>
            <w:r w:rsidR="007D0BC1" w:rsidRPr="009D0B76">
              <w:rPr>
                <w:rFonts w:ascii="Times New Roman" w:eastAsiaTheme="minorHAnsi" w:hAnsi="Times New Roman"/>
                <w:sz w:val="24"/>
                <w:szCs w:val="24"/>
              </w:rPr>
              <w:t>еприложимо</w:t>
            </w:r>
          </w:p>
        </w:tc>
      </w:tr>
    </w:tbl>
    <w:p w14:paraId="010944AA" w14:textId="77777777" w:rsidR="00A54F9D" w:rsidRDefault="00A54F9D" w:rsidP="009D0B76">
      <w:pPr>
        <w:spacing w:after="0" w:line="276" w:lineRule="auto"/>
        <w:jc w:val="both"/>
        <w:rPr>
          <w:rFonts w:ascii="Times New Roman" w:eastAsiaTheme="minorHAnsi" w:hAnsi="Times New Roman"/>
          <w:b/>
          <w:color w:val="5B9BD5" w:themeColor="accent1"/>
          <w:sz w:val="24"/>
          <w:szCs w:val="24"/>
        </w:rPr>
      </w:pPr>
    </w:p>
    <w:p w14:paraId="5B9BDFBC" w14:textId="77777777" w:rsidR="00321258" w:rsidRPr="009D0B76" w:rsidRDefault="00321258"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color w:val="5B9BD5" w:themeColor="accent1"/>
          <w:sz w:val="24"/>
          <w:szCs w:val="24"/>
        </w:rPr>
        <w:t>21.Ред за оценяване на проектните предложения</w:t>
      </w:r>
      <w:r w:rsidR="007D0BC1" w:rsidRPr="009D0B76">
        <w:rPr>
          <w:rFonts w:ascii="Times New Roman" w:eastAsiaTheme="minorHAnsi" w:hAnsi="Times New Roman"/>
          <w:b/>
          <w:color w:val="5B9BD5" w:themeColor="accent1"/>
          <w:sz w:val="24"/>
          <w:szCs w:val="2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F32C39" w:rsidRPr="009D0B76" w14:paraId="07CF689F" w14:textId="77777777" w:rsidTr="00772087">
        <w:tc>
          <w:tcPr>
            <w:tcW w:w="9464" w:type="dxa"/>
          </w:tcPr>
          <w:p w14:paraId="17C15ABF"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(обн., ДВ, бр. 52 от 8.07.2016 г., в сила от 8.07.2016 г., изм. и доп., бр. 32 от 21.04.2017 г., в сила от 21.04.2017 г.) (ПМС № 161).</w:t>
            </w:r>
          </w:p>
          <w:p w14:paraId="26CC8D66" w14:textId="3EB7CD10"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Председателят  на Управителния съвет на МИГ „</w:t>
            </w:r>
            <w:r>
              <w:rPr>
                <w:rFonts w:ascii="Times New Roman" w:eastAsiaTheme="minorHAnsi" w:hAnsi="Times New Roman"/>
                <w:sz w:val="24"/>
                <w:szCs w:val="24"/>
              </w:rPr>
              <w:t>Костинброд-Своге</w:t>
            </w:r>
            <w:r w:rsidRPr="0099240F">
              <w:rPr>
                <w:rFonts w:ascii="Times New Roman" w:eastAsiaTheme="minorHAnsi" w:hAnsi="Times New Roman"/>
                <w:sz w:val="24"/>
                <w:szCs w:val="24"/>
              </w:rPr>
              <w:t xml:space="preserve">“ назначава със заповед Комисия за подбор на проектни предложения (КППП). Комисията се назначава в срок до три дни от изтичането на крайния срок за подаването на проектните предложения по процедурата.  </w:t>
            </w:r>
          </w:p>
          <w:p w14:paraId="10595574" w14:textId="4F79E3CF"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Структурният състав на КППП, общите изисквания към лицата, участващи в нея, както и правилата за нейната  работа са определени в чл. 44 - 48 от Постановление № 161 и чл. 51 от Наредба № 22 на МЗХГ и Процедурата за подбор на проектни предложения по мерки от СВОМР, финансирани от ПРСР 2014-2020 г. и ЕЗФРСР на територията на МИГ „</w:t>
            </w:r>
            <w:r>
              <w:rPr>
                <w:rFonts w:ascii="Times New Roman" w:eastAsiaTheme="minorHAnsi" w:hAnsi="Times New Roman"/>
                <w:sz w:val="24"/>
                <w:szCs w:val="24"/>
              </w:rPr>
              <w:t>Костинброд-Своге</w:t>
            </w:r>
            <w:r w:rsidRPr="0099240F">
              <w:rPr>
                <w:rFonts w:ascii="Times New Roman" w:eastAsiaTheme="minorHAnsi" w:hAnsi="Times New Roman"/>
                <w:sz w:val="24"/>
                <w:szCs w:val="24"/>
              </w:rPr>
              <w:t>“.</w:t>
            </w:r>
          </w:p>
          <w:p w14:paraId="4E2FFCFC"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 xml:space="preserve">Подбор и оценка на проектни предложения по настоящата мярка се извършва в ИСУН 2020 съгласно условията и реда на ПМС № 161. </w:t>
            </w:r>
          </w:p>
          <w:p w14:paraId="22093214"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 xml:space="preserve">Комисията извършва оценка на всички постъпили проектни предложения в срок до 30 работни дни от изтичане на крайния срок на приема. Оценката на проектните предложения включва: </w:t>
            </w:r>
          </w:p>
          <w:p w14:paraId="55D2FDA2"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Етап 1: Оценка на административното съответствие и допустимост;</w:t>
            </w:r>
          </w:p>
          <w:p w14:paraId="1A591DED"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Етап 2: Техническа и финансова оценка.</w:t>
            </w:r>
          </w:p>
          <w:p w14:paraId="67DDBA0D"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lastRenderedPageBreak/>
              <w:t>Получените проектни предложения се проверяват за административно съответствие и допустимост. На техническа и финансова оценка подлежат само преминалите административно съответствие и допустимост.</w:t>
            </w:r>
          </w:p>
          <w:p w14:paraId="40378453"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 xml:space="preserve">Етап 1: Оценка на административно съответствие и допустимост </w:t>
            </w:r>
          </w:p>
          <w:p w14:paraId="2CDC4ACE" w14:textId="10FA4733"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w:t>
            </w:r>
            <w:r w:rsidRPr="0099240F">
              <w:rPr>
                <w:rFonts w:ascii="Times New Roman" w:eastAsiaTheme="minorHAnsi" w:hAnsi="Times New Roman"/>
                <w:sz w:val="24"/>
                <w:szCs w:val="24"/>
              </w:rPr>
              <w:tab/>
              <w:t>Оценката за административно съответствие и допустимост се извършва от членовете на КППП</w:t>
            </w:r>
            <w:r>
              <w:rPr>
                <w:rFonts w:ascii="Times New Roman" w:eastAsiaTheme="minorHAnsi" w:hAnsi="Times New Roman"/>
                <w:sz w:val="24"/>
                <w:szCs w:val="24"/>
              </w:rPr>
              <w:t>.</w:t>
            </w:r>
          </w:p>
          <w:p w14:paraId="1A2E94D5"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2.</w:t>
            </w:r>
            <w:r w:rsidRPr="0099240F">
              <w:rPr>
                <w:rFonts w:ascii="Times New Roman" w:eastAsiaTheme="minorHAnsi" w:hAnsi="Times New Roman"/>
                <w:sz w:val="24"/>
                <w:szCs w:val="24"/>
              </w:rPr>
              <w:tab/>
              <w:t>В процеса на оценка на административното съответствие и допустимостта на проектните предложения по процедурата, ще се извършват следните проверки:</w:t>
            </w:r>
          </w:p>
          <w:p w14:paraId="08107A9C"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2.1.</w:t>
            </w:r>
            <w:r w:rsidRPr="0099240F">
              <w:rPr>
                <w:rFonts w:ascii="Times New Roman" w:eastAsiaTheme="minorHAnsi" w:hAnsi="Times New Roman"/>
                <w:sz w:val="24"/>
                <w:szCs w:val="24"/>
              </w:rPr>
              <w:tab/>
              <w:t xml:space="preserve">проектното предложение отнася ли се за обявената процедура за подбор на проекти;  </w:t>
            </w:r>
          </w:p>
          <w:p w14:paraId="7B3C743B"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2.2.</w:t>
            </w:r>
            <w:r w:rsidRPr="0099240F">
              <w:rPr>
                <w:rFonts w:ascii="Times New Roman" w:eastAsiaTheme="minorHAnsi" w:hAnsi="Times New Roman"/>
                <w:sz w:val="24"/>
                <w:szCs w:val="24"/>
              </w:rPr>
              <w:tab/>
              <w:t xml:space="preserve">формулярът за кандидатстване отговаря ли на всички изисквания и на одобрения образец в системата ИСУН 2020;   </w:t>
            </w:r>
          </w:p>
          <w:p w14:paraId="5943F929"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2.3.</w:t>
            </w:r>
            <w:r w:rsidRPr="0099240F">
              <w:rPr>
                <w:rFonts w:ascii="Times New Roman" w:eastAsiaTheme="minorHAnsi" w:hAnsi="Times New Roman"/>
                <w:sz w:val="24"/>
                <w:szCs w:val="24"/>
              </w:rPr>
              <w:tab/>
              <w:t>представени ли са всички документи, посочени в Раздел 24 „Списък на документите, които се подават на етап кандидатстване“ и попълнени ли са съгласно изискванията;</w:t>
            </w:r>
          </w:p>
          <w:p w14:paraId="1FBA924E"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2.4.</w:t>
            </w:r>
            <w:r w:rsidRPr="0099240F">
              <w:rPr>
                <w:rFonts w:ascii="Times New Roman" w:eastAsiaTheme="minorHAnsi" w:hAnsi="Times New Roman"/>
                <w:sz w:val="24"/>
                <w:szCs w:val="24"/>
              </w:rPr>
              <w:tab/>
              <w:t>съответствие на кандидатите и проектните дейности с критериите за допустимост;</w:t>
            </w:r>
          </w:p>
          <w:p w14:paraId="538B9034"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2.5.</w:t>
            </w:r>
            <w:r w:rsidRPr="0099240F">
              <w:rPr>
                <w:rFonts w:ascii="Times New Roman" w:eastAsiaTheme="minorHAnsi" w:hAnsi="Times New Roman"/>
                <w:sz w:val="24"/>
                <w:szCs w:val="24"/>
              </w:rPr>
              <w:tab/>
              <w:t>основателни ли са заявените за подпомагане разходи;</w:t>
            </w:r>
          </w:p>
          <w:p w14:paraId="2C27FAE0"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2.6.</w:t>
            </w:r>
            <w:r w:rsidRPr="0099240F">
              <w:rPr>
                <w:rFonts w:ascii="Times New Roman" w:eastAsiaTheme="minorHAnsi" w:hAnsi="Times New Roman"/>
                <w:sz w:val="24"/>
                <w:szCs w:val="24"/>
              </w:rPr>
              <w:tab/>
              <w:t>проверка/оценка на анализ „разходи-ползи“ доказва ли икономическа жизнеспособност на проекта.</w:t>
            </w:r>
          </w:p>
          <w:p w14:paraId="14D03101"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3.</w:t>
            </w:r>
            <w:r w:rsidRPr="0099240F">
              <w:rPr>
                <w:rFonts w:ascii="Times New Roman" w:eastAsiaTheme="minorHAnsi" w:hAnsi="Times New Roman"/>
                <w:sz w:val="24"/>
                <w:szCs w:val="24"/>
              </w:rPr>
              <w:tab/>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14:paraId="11F4ADBC"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4.</w:t>
            </w:r>
            <w:r w:rsidRPr="0099240F">
              <w:rPr>
                <w:rFonts w:ascii="Times New Roman" w:eastAsiaTheme="minorHAnsi" w:hAnsi="Times New Roman"/>
                <w:sz w:val="24"/>
                <w:szCs w:val="24"/>
              </w:rPr>
              <w:tab/>
              <w:t>Като част от проверката за административно съответствие и допустимост оценителната комисия може да извърши посещение на място за проекти, включващи строително-монтажни работи в срок до седем дни от приключване на приема по настоящата процедура. Целта на посещението на място е да установи фактическото съответствие с представените документи, като:</w:t>
            </w:r>
          </w:p>
          <w:p w14:paraId="72B9CBE0"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4.1.</w:t>
            </w:r>
            <w:r w:rsidRPr="0099240F">
              <w:rPr>
                <w:rFonts w:ascii="Times New Roman" w:eastAsiaTheme="minorHAnsi" w:hAnsi="Times New Roman"/>
                <w:sz w:val="24"/>
                <w:szCs w:val="24"/>
              </w:rPr>
              <w:tab/>
              <w:t>посещението на място се извършва в присъствието на кандидата или на упълномощен негов представител;</w:t>
            </w:r>
          </w:p>
          <w:p w14:paraId="5CCF549F" w14:textId="67C433EE"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4.2.</w:t>
            </w:r>
            <w:r w:rsidRPr="0099240F">
              <w:rPr>
                <w:rFonts w:ascii="Times New Roman" w:eastAsiaTheme="minorHAnsi" w:hAnsi="Times New Roman"/>
                <w:sz w:val="24"/>
                <w:szCs w:val="24"/>
              </w:rPr>
              <w:tab/>
              <w:t>след приключване на посещението на място се изготвя протокол с резултатите от посещението и се представя за подпис на кандидата или на упълномощен негов представител, който има право да напише в него обяснения и възражения по направените констатации;</w:t>
            </w:r>
          </w:p>
          <w:p w14:paraId="18EE4888"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lastRenderedPageBreak/>
              <w:t>4.3.</w:t>
            </w:r>
            <w:r w:rsidRPr="0099240F">
              <w:rPr>
                <w:rFonts w:ascii="Times New Roman" w:eastAsiaTheme="minorHAnsi" w:hAnsi="Times New Roman"/>
                <w:sz w:val="24"/>
                <w:szCs w:val="24"/>
              </w:rPr>
              <w:tab/>
              <w:t>екземпляр от протокола по т.4.2 се предоставя на кандидата или на упълномощен негов представител веднага след приключване на посещението на място;</w:t>
            </w:r>
          </w:p>
          <w:p w14:paraId="08614B0C"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4.4.</w:t>
            </w:r>
            <w:r w:rsidRPr="0099240F">
              <w:rPr>
                <w:rFonts w:ascii="Times New Roman" w:eastAsiaTheme="minorHAnsi" w:hAnsi="Times New Roman"/>
                <w:sz w:val="24"/>
                <w:szCs w:val="24"/>
              </w:rPr>
              <w:tab/>
              <w:t>в случай че кандидатът или упълномощен негов представител не е открит при извършване на посещението на място, оценителната комисия уведомява кандидата, като му изпраща копие от протокола чрез ИСУН 2020;</w:t>
            </w:r>
          </w:p>
          <w:p w14:paraId="1788C355" w14:textId="19ADFBD8"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4.5.</w:t>
            </w:r>
            <w:r w:rsidRPr="0099240F">
              <w:rPr>
                <w:rFonts w:ascii="Times New Roman" w:eastAsiaTheme="minorHAnsi" w:hAnsi="Times New Roman"/>
                <w:sz w:val="24"/>
                <w:szCs w:val="24"/>
              </w:rPr>
              <w:tab/>
              <w:t>в 14 дневен срок от получаването на протокола по т.4.4 за посещението на място, кандидатът може писмено да направи възражения и да даде обяснения по направените констатации пред изпълнителния директор на МИГ „</w:t>
            </w:r>
            <w:r w:rsidR="00AF4FF8">
              <w:rPr>
                <w:rFonts w:ascii="Times New Roman" w:eastAsiaTheme="minorHAnsi" w:hAnsi="Times New Roman"/>
                <w:sz w:val="24"/>
                <w:szCs w:val="24"/>
              </w:rPr>
              <w:t>Костинброд-Своге</w:t>
            </w:r>
            <w:r w:rsidRPr="0099240F">
              <w:rPr>
                <w:rFonts w:ascii="Times New Roman" w:eastAsiaTheme="minorHAnsi" w:hAnsi="Times New Roman"/>
                <w:sz w:val="24"/>
                <w:szCs w:val="24"/>
              </w:rPr>
              <w:t>“.</w:t>
            </w:r>
          </w:p>
          <w:p w14:paraId="74BA61A7"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5.</w:t>
            </w:r>
            <w:r w:rsidRPr="0099240F">
              <w:rPr>
                <w:rFonts w:ascii="Times New Roman" w:eastAsiaTheme="minorHAnsi" w:hAnsi="Times New Roman"/>
                <w:sz w:val="24"/>
                <w:szCs w:val="24"/>
              </w:rPr>
              <w:tab/>
              <w:t>Когато в процеса на оценката на проектно предложение на етап ОАСД се установи липса на документи и/или друга нередовност или се налага от кандидата да бъде изискана допълнителна пояснителна информация, КППП изпраща на кандидата уведомление чрез ИСУН 2020 за установените нередовности и определя разумен срок за тяхното отстраняване, който не може да бъде по-кратък от една седмица. За дата на получаване на уведомлението се счита датата на изпращането му в ИСУН 2020.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или до редуциране на разходи в бюджета на проекта/ таблицата за допустимите инвестиции и дейности. Отстраняването на нередовностите не може да води до подобряване на качеството на проектното предложение и да нарушаване на принципите по чл. 29, ал.1, т.1 и т.2 от ЗУСЕСИФ. Изпратеният отговор на въпрос от кандидата се счита за получен от КППП с изпращането му в ИСУН.</w:t>
            </w:r>
          </w:p>
          <w:p w14:paraId="2D413257"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6.</w:t>
            </w:r>
            <w:r w:rsidRPr="0099240F">
              <w:rPr>
                <w:rFonts w:ascii="Times New Roman" w:eastAsiaTheme="minorHAnsi" w:hAnsi="Times New Roman"/>
                <w:sz w:val="24"/>
                <w:szCs w:val="24"/>
              </w:rPr>
              <w:tab/>
              <w:t>След приключване на оценката на административното съответствие и допустимостта в ИСУН 2020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процесуалният кодекс.</w:t>
            </w:r>
          </w:p>
          <w:p w14:paraId="3934F205" w14:textId="66F1A9E5"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7.</w:t>
            </w:r>
            <w:r w:rsidRPr="0099240F">
              <w:rPr>
                <w:rFonts w:ascii="Times New Roman" w:eastAsiaTheme="minorHAnsi" w:hAnsi="Times New Roman"/>
                <w:sz w:val="24"/>
                <w:szCs w:val="24"/>
              </w:rPr>
              <w:tab/>
              <w:t>Кандидатите, чиито проектни предложения са предложени за отхвърляне могат да подадат възражения срещу предложението за отхвърлянето им пред изпълнителния директор на МИГ „</w:t>
            </w:r>
            <w:r w:rsidR="00AF4FF8">
              <w:rPr>
                <w:rFonts w:ascii="Times New Roman" w:eastAsiaTheme="minorHAnsi" w:hAnsi="Times New Roman"/>
                <w:sz w:val="24"/>
                <w:szCs w:val="24"/>
              </w:rPr>
              <w:t>Костинброд-Своге</w:t>
            </w:r>
            <w:r w:rsidRPr="0099240F">
              <w:rPr>
                <w:rFonts w:ascii="Times New Roman" w:eastAsiaTheme="minorHAnsi" w:hAnsi="Times New Roman"/>
                <w:sz w:val="24"/>
                <w:szCs w:val="24"/>
              </w:rPr>
              <w:t xml:space="preserve">“ в 14 дневен срок от съобщението в ИСУН 2020. </w:t>
            </w:r>
          </w:p>
          <w:p w14:paraId="3F358F6B"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8.</w:t>
            </w:r>
            <w:r w:rsidRPr="0099240F">
              <w:rPr>
                <w:rFonts w:ascii="Times New Roman" w:eastAsiaTheme="minorHAnsi" w:hAnsi="Times New Roman"/>
                <w:sz w:val="24"/>
                <w:szCs w:val="24"/>
              </w:rPr>
              <w:tab/>
              <w:t xml:space="preserve">Процедурата за разглеждане на възраженията протича по реда на чл.18 от ПМС № 162/2016 г. Когато кандидатът не подаде възражение проектното предложение се включва в списъка на предложените за отхвърляне проектни предложения. </w:t>
            </w:r>
          </w:p>
          <w:p w14:paraId="04CBE167" w14:textId="31AACCA8"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lastRenderedPageBreak/>
              <w:t>9.</w:t>
            </w:r>
            <w:r w:rsidRPr="0099240F">
              <w:rPr>
                <w:rFonts w:ascii="Times New Roman" w:eastAsiaTheme="minorHAnsi" w:hAnsi="Times New Roman"/>
                <w:sz w:val="24"/>
                <w:szCs w:val="24"/>
              </w:rPr>
              <w:tab/>
              <w:t>Кандидатът може по всяко време да оттегли изцяло или частично проектното предложение или приложените към него документи като подаде писмено искане до изпълнителния директор на МИГ „</w:t>
            </w:r>
            <w:r w:rsidR="00AF4FF8">
              <w:rPr>
                <w:rFonts w:ascii="Times New Roman" w:eastAsiaTheme="minorHAnsi" w:hAnsi="Times New Roman"/>
                <w:sz w:val="24"/>
                <w:szCs w:val="24"/>
              </w:rPr>
              <w:t>Костинброд-Своге</w:t>
            </w:r>
            <w:r w:rsidRPr="0099240F">
              <w:rPr>
                <w:rFonts w:ascii="Times New Roman" w:eastAsiaTheme="minorHAnsi" w:hAnsi="Times New Roman"/>
                <w:sz w:val="24"/>
                <w:szCs w:val="24"/>
              </w:rPr>
              <w:t xml:space="preserve">“ на хартиен носител. Това обстоятелство се отбелязва в ИСУН 2020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w:t>
            </w:r>
          </w:p>
          <w:p w14:paraId="1C92E49E"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10.</w:t>
            </w:r>
            <w:r w:rsidRPr="0099240F">
              <w:rPr>
                <w:rFonts w:ascii="Times New Roman" w:eastAsiaTheme="minorHAnsi" w:hAnsi="Times New Roman"/>
                <w:sz w:val="24"/>
                <w:szCs w:val="24"/>
              </w:rPr>
              <w:tab/>
              <w:t>Когато кандидатът е уведомен от оценителната комисия за случаи на несъответствия и/или нередовности в документите в проектното предложение или когато кандидатът е уведомен за намерението на оценителната комисия да извърши проверка/посещение на място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В тези случаи оценителната комисия писмено уведомява кандидата за решението си по направеното искане за оттегляне.</w:t>
            </w:r>
          </w:p>
          <w:p w14:paraId="4A593DB7" w14:textId="69BF9A83"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11.</w:t>
            </w:r>
            <w:r w:rsidRPr="0099240F">
              <w:rPr>
                <w:rFonts w:ascii="Times New Roman" w:eastAsiaTheme="minorHAnsi" w:hAnsi="Times New Roman"/>
                <w:sz w:val="24"/>
                <w:szCs w:val="24"/>
              </w:rPr>
              <w:tab/>
              <w:t>При оттегляне изцяло на проектно предложение, което не попада в обхвата на т. 11, изпълнителният директор на МИГ „</w:t>
            </w:r>
            <w:r w:rsidR="00AF4FF8">
              <w:rPr>
                <w:rFonts w:ascii="Times New Roman" w:eastAsiaTheme="minorHAnsi" w:hAnsi="Times New Roman"/>
                <w:sz w:val="24"/>
                <w:szCs w:val="24"/>
              </w:rPr>
              <w:t>Костинброд-Своге</w:t>
            </w:r>
            <w:r w:rsidRPr="0099240F">
              <w:rPr>
                <w:rFonts w:ascii="Times New Roman" w:eastAsiaTheme="minorHAnsi" w:hAnsi="Times New Roman"/>
                <w:sz w:val="24"/>
                <w:szCs w:val="24"/>
              </w:rPr>
              <w:t>“  прекратява образуваното пред него административно производство, а кандидатът има право да подаде ново проектно предложение за същата инвестиция, в случай че е обявена нова процедура за подбор по мярката.</w:t>
            </w:r>
          </w:p>
          <w:p w14:paraId="5CA177C9"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12.</w:t>
            </w:r>
            <w:r w:rsidRPr="0099240F">
              <w:rPr>
                <w:rFonts w:ascii="Times New Roman" w:eastAsiaTheme="minorHAnsi" w:hAnsi="Times New Roman"/>
                <w:sz w:val="24"/>
                <w:szCs w:val="24"/>
              </w:rPr>
              <w:tab/>
              <w:t>Проектното предложение може да бъде поправяно по всяко време след подаването само в случай на очевидни грешки. За очевидни грешки се признават тези, които могат да бъдат непосредствено установени при техническа проверка на информацията, съдържаща се в документите към проектното предложение при условие, че кандидата е действал добросъвестно.</w:t>
            </w:r>
          </w:p>
          <w:p w14:paraId="397D3FD9"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13.</w:t>
            </w:r>
            <w:r w:rsidRPr="0099240F">
              <w:rPr>
                <w:rFonts w:ascii="Times New Roman" w:eastAsiaTheme="minorHAnsi" w:hAnsi="Times New Roman"/>
                <w:sz w:val="24"/>
                <w:szCs w:val="24"/>
              </w:rPr>
              <w:tab/>
              <w:t xml:space="preserve">Не се допуска поправяне на проектното предложение и представените от кандидата документи  към него извън хипотезата по т. 13. </w:t>
            </w:r>
          </w:p>
          <w:p w14:paraId="15073BE8"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14.</w:t>
            </w:r>
            <w:r w:rsidRPr="0099240F">
              <w:rPr>
                <w:rFonts w:ascii="Times New Roman" w:eastAsiaTheme="minorHAnsi" w:hAnsi="Times New Roman"/>
                <w:sz w:val="24"/>
                <w:szCs w:val="24"/>
              </w:rPr>
              <w:tab/>
              <w:t>Когато е допуснато частично оттегляне, новите обстоятелства не се вземат под внимание, ако водят или биха довели до увеличаване на определения от оценителната комисия брой точки по критериите за подбор, както и ако биха довели до определяне на по-голям размер на финансовата помощ.</w:t>
            </w:r>
          </w:p>
          <w:p w14:paraId="5191DF1D"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15.</w:t>
            </w:r>
            <w:r w:rsidRPr="0099240F">
              <w:rPr>
                <w:rFonts w:ascii="Times New Roman" w:eastAsiaTheme="minorHAnsi" w:hAnsi="Times New Roman"/>
                <w:sz w:val="24"/>
                <w:szCs w:val="24"/>
              </w:rPr>
              <w:tab/>
              <w:t>Оценителната комисия може да извършва корекции в бюджета на проектно предложение, в случай, че при оценката се установи:</w:t>
            </w:r>
          </w:p>
          <w:p w14:paraId="64293F56"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15.1.</w:t>
            </w:r>
            <w:r w:rsidRPr="0099240F">
              <w:rPr>
                <w:rFonts w:ascii="Times New Roman" w:eastAsiaTheme="minorHAnsi" w:hAnsi="Times New Roman"/>
                <w:sz w:val="24"/>
                <w:szCs w:val="24"/>
              </w:rPr>
              <w:tab/>
              <w:t>наличие на недопустими дейности и/или разходи;</w:t>
            </w:r>
          </w:p>
          <w:p w14:paraId="1D6FC459"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lastRenderedPageBreak/>
              <w:t>15.2.</w:t>
            </w:r>
            <w:r w:rsidRPr="0099240F">
              <w:rPr>
                <w:rFonts w:ascii="Times New Roman" w:eastAsiaTheme="minorHAnsi" w:hAnsi="Times New Roman"/>
                <w:sz w:val="24"/>
                <w:szCs w:val="24"/>
              </w:rPr>
              <w:tab/>
              <w:t>несъответствие между предвидените дейности и видовете заложени разходи;</w:t>
            </w:r>
          </w:p>
          <w:p w14:paraId="63CC58B5"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15.3.</w:t>
            </w:r>
            <w:r w:rsidRPr="0099240F">
              <w:rPr>
                <w:rFonts w:ascii="Times New Roman" w:eastAsiaTheme="minorHAnsi" w:hAnsi="Times New Roman"/>
                <w:sz w:val="24"/>
                <w:szCs w:val="24"/>
              </w:rPr>
              <w:tab/>
              <w:t>дублиране на разходи;</w:t>
            </w:r>
          </w:p>
          <w:p w14:paraId="3173F172"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15.4.</w:t>
            </w:r>
            <w:r w:rsidRPr="0099240F">
              <w:rPr>
                <w:rFonts w:ascii="Times New Roman" w:eastAsiaTheme="minorHAnsi" w:hAnsi="Times New Roman"/>
                <w:sz w:val="24"/>
                <w:szCs w:val="24"/>
              </w:rPr>
              <w:tab/>
              <w:t>неспазване на други условия за допустимост в настоящите условия за кандидатстване;</w:t>
            </w:r>
          </w:p>
          <w:p w14:paraId="48026626"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15.5.</w:t>
            </w:r>
            <w:r w:rsidRPr="0099240F">
              <w:rPr>
                <w:rFonts w:ascii="Times New Roman" w:eastAsiaTheme="minorHAnsi" w:hAnsi="Times New Roman"/>
                <w:sz w:val="24"/>
                <w:szCs w:val="24"/>
              </w:rPr>
              <w:tab/>
              <w:t>несъответствие с правилата за държавните помощи;</w:t>
            </w:r>
          </w:p>
          <w:p w14:paraId="1F15A170"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15.6.</w:t>
            </w:r>
            <w:r w:rsidRPr="0099240F">
              <w:rPr>
                <w:rFonts w:ascii="Times New Roman" w:eastAsiaTheme="minorHAnsi" w:hAnsi="Times New Roman"/>
                <w:sz w:val="24"/>
                <w:szCs w:val="24"/>
              </w:rPr>
              <w:tab/>
              <w:t>неоснователност на разходите.</w:t>
            </w:r>
          </w:p>
          <w:p w14:paraId="1BDF132A" w14:textId="769777FE"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16.</w:t>
            </w:r>
            <w:r w:rsidRPr="0099240F">
              <w:rPr>
                <w:rFonts w:ascii="Times New Roman" w:eastAsiaTheme="minorHAnsi" w:hAnsi="Times New Roman"/>
                <w:sz w:val="24"/>
                <w:szCs w:val="24"/>
              </w:rPr>
              <w:tab/>
              <w:t>Корекциите се извършват след изискване на допълнителна пояснителна информация от кандидата.</w:t>
            </w:r>
          </w:p>
          <w:p w14:paraId="57EF050D"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17.</w:t>
            </w:r>
            <w:r w:rsidRPr="0099240F">
              <w:rPr>
                <w:rFonts w:ascii="Times New Roman" w:eastAsiaTheme="minorHAnsi" w:hAnsi="Times New Roman"/>
                <w:sz w:val="24"/>
                <w:szCs w:val="24"/>
              </w:rPr>
              <w:tab/>
              <w:t>Корекциите по т. 16 не могат да водят до:</w:t>
            </w:r>
          </w:p>
          <w:p w14:paraId="07A1B8EA"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17.1.</w:t>
            </w:r>
            <w:r w:rsidRPr="0099240F">
              <w:rPr>
                <w:rFonts w:ascii="Times New Roman" w:eastAsiaTheme="minorHAnsi" w:hAnsi="Times New Roman"/>
                <w:sz w:val="24"/>
                <w:szCs w:val="24"/>
              </w:rPr>
              <w:tab/>
              <w:t>увеличаване на размера или на интензитета на безвъзмездната финансова помощ, предвидени в подаденото проектно предложение;</w:t>
            </w:r>
          </w:p>
          <w:p w14:paraId="623F9FC7"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17.2.</w:t>
            </w:r>
            <w:r w:rsidRPr="0099240F">
              <w:rPr>
                <w:rFonts w:ascii="Times New Roman" w:eastAsiaTheme="minorHAnsi" w:hAnsi="Times New Roman"/>
                <w:sz w:val="24"/>
                <w:szCs w:val="24"/>
              </w:rPr>
              <w:tab/>
              <w:t>невъзможност за изпълнение на целите на проекта или на проектните дейности;</w:t>
            </w:r>
          </w:p>
          <w:p w14:paraId="3DE18D07"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17.3.</w:t>
            </w:r>
            <w:r w:rsidRPr="0099240F">
              <w:rPr>
                <w:rFonts w:ascii="Times New Roman" w:eastAsiaTheme="minorHAnsi" w:hAnsi="Times New Roman"/>
                <w:sz w:val="24"/>
                <w:szCs w:val="24"/>
              </w:rPr>
              <w:tab/>
              <w:t>подобряване на качеството на проектното предложение и нарушаване на принципите по чл. 29, ал. 1, т. 1 и 2 ЗУСЕСИФ.</w:t>
            </w:r>
          </w:p>
          <w:p w14:paraId="10EC296D"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18.</w:t>
            </w:r>
            <w:r w:rsidRPr="0099240F">
              <w:rPr>
                <w:rFonts w:ascii="Times New Roman" w:eastAsiaTheme="minorHAnsi" w:hAnsi="Times New Roman"/>
                <w:sz w:val="24"/>
                <w:szCs w:val="24"/>
              </w:rPr>
              <w:tab/>
              <w:t>Оценката на административно съответствие и допустимост включва още:</w:t>
            </w:r>
          </w:p>
          <w:p w14:paraId="4EFDF2F1"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18.1.</w:t>
            </w:r>
            <w:r w:rsidRPr="0099240F">
              <w:rPr>
                <w:rFonts w:ascii="Times New Roman" w:eastAsiaTheme="minorHAnsi" w:hAnsi="Times New Roman"/>
                <w:sz w:val="24"/>
                <w:szCs w:val="24"/>
              </w:rPr>
              <w:tab/>
              <w:t>проверка за липса на двойно финансиране;</w:t>
            </w:r>
          </w:p>
          <w:p w14:paraId="7F5DF82A"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18.2.</w:t>
            </w:r>
            <w:r w:rsidRPr="0099240F">
              <w:rPr>
                <w:rFonts w:ascii="Times New Roman" w:eastAsiaTheme="minorHAnsi" w:hAnsi="Times New Roman"/>
                <w:sz w:val="24"/>
                <w:szCs w:val="24"/>
              </w:rPr>
              <w:tab/>
              <w:t>проверка за наличие на изкуствено създадени условия;</w:t>
            </w:r>
          </w:p>
          <w:p w14:paraId="530663AF"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18.3.</w:t>
            </w:r>
            <w:r w:rsidRPr="0099240F">
              <w:rPr>
                <w:rFonts w:ascii="Times New Roman" w:eastAsiaTheme="minorHAnsi" w:hAnsi="Times New Roman"/>
                <w:sz w:val="24"/>
                <w:szCs w:val="24"/>
              </w:rPr>
              <w:tab/>
              <w:t>проверка за минимални/държавни помощи.</w:t>
            </w:r>
          </w:p>
          <w:p w14:paraId="372B174D"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 xml:space="preserve">Етап 2: Техническа и финансова оценка </w:t>
            </w:r>
          </w:p>
          <w:p w14:paraId="0B29BFF0"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1.</w:t>
            </w:r>
            <w:r w:rsidRPr="0099240F">
              <w:rPr>
                <w:rFonts w:ascii="Times New Roman" w:eastAsiaTheme="minorHAnsi" w:hAnsi="Times New Roman"/>
                <w:sz w:val="24"/>
                <w:szCs w:val="24"/>
              </w:rPr>
              <w:tab/>
              <w:t>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14:paraId="5BB5214B"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2.</w:t>
            </w:r>
            <w:r w:rsidRPr="0099240F">
              <w:rPr>
                <w:rFonts w:ascii="Times New Roman" w:eastAsiaTheme="minorHAnsi" w:hAnsi="Times New Roman"/>
                <w:sz w:val="24"/>
                <w:szCs w:val="24"/>
              </w:rPr>
              <w:tab/>
              <w:t>Техническата и финансова оценка на проектните предложения по процедурата се извършва по критерии за подбор, обособени по приоритети съгласно Приложение № 22 към Условията за кандидатстване/ Документи за информация.</w:t>
            </w:r>
          </w:p>
          <w:p w14:paraId="4ECB228C" w14:textId="7B083918"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3.</w:t>
            </w:r>
            <w:r w:rsidRPr="0099240F">
              <w:rPr>
                <w:rFonts w:ascii="Times New Roman" w:eastAsiaTheme="minorHAnsi" w:hAnsi="Times New Roman"/>
                <w:sz w:val="24"/>
                <w:szCs w:val="24"/>
              </w:rPr>
              <w:tab/>
              <w:t xml:space="preserve">Когато при оценката на етап техническа и финансова оценка се установят обстоятелства, които изискват допълнителна пояснителна информация от кандидата, Комисията изпраща на кандидата уведомление чрез ИСУН 2020 и определя разумен срок за представянето и, който не може да бъде по-кратък от една седмица. За дата на получаване на уведомлението се счита датата на изпращането му в ИСУН 2020. Уведомлението съдържа и информация, че непредставянето на исканата пояснителна информация не следва да съдържа елементи, водещи до подобряване на качеството на проектното предложение и до нарушаване на принципите по чл.29, ал.1, т.1 и т.2 от </w:t>
            </w:r>
            <w:r w:rsidRPr="0099240F">
              <w:rPr>
                <w:rFonts w:ascii="Times New Roman" w:eastAsiaTheme="minorHAnsi" w:hAnsi="Times New Roman"/>
                <w:sz w:val="24"/>
                <w:szCs w:val="24"/>
              </w:rPr>
              <w:lastRenderedPageBreak/>
              <w:t>ЗУСЕСИФ. При непредставяне в срок на изисканата допълнителна информация или разяснения, проектното предложение може да бъде отхвърлено само и единствено на това основание или съответно да получи по-малък брой точки. Всяка информация, представена извън официално изисканата от оценителната комисия, не се взема под внимание. По изключение кандидатът може да предостави информация с уведомителен характер (напр. промяна в адреса за кореспонденция, лицето, представляващо кандидата и други подобни обстоятелства), която не води до подобряване качеството на първоначалното проектно предложение</w:t>
            </w:r>
            <w:r w:rsidR="00AF4FF8">
              <w:rPr>
                <w:rFonts w:ascii="Times New Roman" w:eastAsiaTheme="minorHAnsi" w:hAnsi="Times New Roman"/>
                <w:sz w:val="24"/>
                <w:szCs w:val="24"/>
              </w:rPr>
              <w:t>.</w:t>
            </w:r>
            <w:r w:rsidRPr="0099240F">
              <w:rPr>
                <w:rFonts w:ascii="Times New Roman" w:eastAsiaTheme="minorHAnsi" w:hAnsi="Times New Roman"/>
                <w:sz w:val="24"/>
                <w:szCs w:val="24"/>
              </w:rPr>
              <w:t xml:space="preserve"> Изпратеният отговор на въпрос от кандидата се счита за получен от КППП с изпращането му в ИСУН.</w:t>
            </w:r>
          </w:p>
          <w:p w14:paraId="61F928B4"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4.</w:t>
            </w:r>
            <w:r w:rsidRPr="0099240F">
              <w:rPr>
                <w:rFonts w:ascii="Times New Roman" w:eastAsiaTheme="minorHAnsi" w:hAnsi="Times New Roman"/>
                <w:sz w:val="24"/>
                <w:szCs w:val="24"/>
              </w:rPr>
              <w:tab/>
              <w:t>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w:t>
            </w:r>
          </w:p>
          <w:p w14:paraId="2E9B650C" w14:textId="77777777" w:rsidR="0099240F" w:rsidRPr="0099240F"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5.</w:t>
            </w:r>
            <w:r w:rsidRPr="0099240F">
              <w:rPr>
                <w:rFonts w:ascii="Times New Roman" w:eastAsiaTheme="minorHAnsi" w:hAnsi="Times New Roman"/>
                <w:sz w:val="24"/>
                <w:szCs w:val="24"/>
              </w:rPr>
              <w:tab/>
              <w:t>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14:paraId="116C6E48" w14:textId="1A80472B" w:rsidR="00471A9A" w:rsidRPr="00A54F9D" w:rsidRDefault="0099240F" w:rsidP="0099240F">
            <w:pPr>
              <w:spacing w:after="0" w:line="276" w:lineRule="auto"/>
              <w:jc w:val="both"/>
              <w:rPr>
                <w:rFonts w:ascii="Times New Roman" w:eastAsiaTheme="minorHAnsi" w:hAnsi="Times New Roman"/>
                <w:sz w:val="24"/>
                <w:szCs w:val="24"/>
              </w:rPr>
            </w:pPr>
            <w:r w:rsidRPr="0099240F">
              <w:rPr>
                <w:rFonts w:ascii="Times New Roman" w:eastAsiaTheme="minorHAnsi" w:hAnsi="Times New Roman"/>
                <w:sz w:val="24"/>
                <w:szCs w:val="24"/>
              </w:rPr>
              <w:t>6.</w:t>
            </w:r>
            <w:r w:rsidRPr="0099240F">
              <w:rPr>
                <w:rFonts w:ascii="Times New Roman" w:eastAsiaTheme="minorHAnsi" w:hAnsi="Times New Roman"/>
                <w:sz w:val="24"/>
                <w:szCs w:val="24"/>
              </w:rPr>
              <w:tab/>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 организационната форма, лицето, представляващо кандидата и други подобни обстоятелства), която не води до подобряване качеството на първоначалното проектно предложение.</w:t>
            </w:r>
          </w:p>
        </w:tc>
      </w:tr>
    </w:tbl>
    <w:p w14:paraId="3AED5289" w14:textId="77777777" w:rsidR="00F32C39" w:rsidRPr="009D0B76" w:rsidRDefault="00F32C39" w:rsidP="009D0B76">
      <w:pPr>
        <w:spacing w:after="0" w:line="276" w:lineRule="auto"/>
        <w:jc w:val="both"/>
        <w:rPr>
          <w:rFonts w:ascii="Times New Roman" w:eastAsiaTheme="minorHAnsi" w:hAnsi="Times New Roman"/>
          <w:b/>
          <w:sz w:val="24"/>
          <w:szCs w:val="24"/>
        </w:rPr>
      </w:pPr>
    </w:p>
    <w:p w14:paraId="3D842324" w14:textId="77777777" w:rsidR="00851FB1" w:rsidRPr="009D0B76" w:rsidRDefault="00851FB1" w:rsidP="009D0B76">
      <w:pPr>
        <w:spacing w:after="0" w:line="276" w:lineRule="auto"/>
        <w:jc w:val="both"/>
        <w:rPr>
          <w:rFonts w:ascii="Times New Roman" w:eastAsiaTheme="minorHAnsi" w:hAnsi="Times New Roman"/>
          <w:b/>
          <w:sz w:val="24"/>
          <w:szCs w:val="24"/>
        </w:rPr>
      </w:pPr>
    </w:p>
    <w:p w14:paraId="1144FFF6" w14:textId="77777777" w:rsidR="00851FB1" w:rsidRPr="009D0B76" w:rsidRDefault="00851FB1"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color w:val="5B9BD5" w:themeColor="accent1"/>
          <w:sz w:val="24"/>
          <w:szCs w:val="24"/>
        </w:rPr>
        <w:t xml:space="preserve">22.Критерии и методика за оценка на проектните предложения: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684ED4" w:rsidRPr="009D0B76" w14:paraId="54BAD33F" w14:textId="77777777" w:rsidTr="003E7EE4">
        <w:tc>
          <w:tcPr>
            <w:tcW w:w="10760" w:type="dxa"/>
            <w:shd w:val="clear" w:color="auto" w:fill="auto"/>
          </w:tcPr>
          <w:p w14:paraId="1F1C38B7" w14:textId="77777777" w:rsidR="00EC2E16" w:rsidRPr="009D0B76" w:rsidRDefault="00684ED4"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b/>
                <w:sz w:val="24"/>
                <w:szCs w:val="24"/>
              </w:rPr>
              <w:t xml:space="preserve"> </w:t>
            </w:r>
            <w:r w:rsidR="00EC2E16" w:rsidRPr="009D0B76">
              <w:rPr>
                <w:rFonts w:ascii="Times New Roman" w:eastAsiaTheme="minorHAnsi" w:hAnsi="Times New Roman"/>
                <w:sz w:val="24"/>
                <w:szCs w:val="24"/>
              </w:rPr>
              <w:t xml:space="preserve">Всички предложения за проекти се проверяват за съответствие с критериите за административно съответствие и допустимост. </w:t>
            </w:r>
          </w:p>
          <w:p w14:paraId="18B88EBD" w14:textId="77777777" w:rsidR="00684ED4" w:rsidRPr="009D0B76" w:rsidRDefault="00EC2E16"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На техническа и финансова оценка подлежат само прем</w:t>
            </w:r>
            <w:r w:rsidR="00AF536E" w:rsidRPr="009D0B76">
              <w:rPr>
                <w:rFonts w:ascii="Times New Roman" w:eastAsiaTheme="minorHAnsi" w:hAnsi="Times New Roman"/>
                <w:sz w:val="24"/>
                <w:szCs w:val="24"/>
              </w:rPr>
              <w:t>иналите проверката за администра</w:t>
            </w:r>
            <w:r w:rsidRPr="009D0B76">
              <w:rPr>
                <w:rFonts w:ascii="Times New Roman" w:eastAsiaTheme="minorHAnsi" w:hAnsi="Times New Roman"/>
                <w:sz w:val="24"/>
                <w:szCs w:val="24"/>
              </w:rPr>
              <w:t>тивно съответствие и допустимост проектни предложения. Техниче</w:t>
            </w:r>
            <w:r w:rsidR="00AF536E" w:rsidRPr="009D0B76">
              <w:rPr>
                <w:rFonts w:ascii="Times New Roman" w:eastAsiaTheme="minorHAnsi" w:hAnsi="Times New Roman"/>
                <w:sz w:val="24"/>
                <w:szCs w:val="24"/>
              </w:rPr>
              <w:t>ската и финансова оценка на проектните предложения се извършва съгласно обективни критерии за оценка и тежест на показателите.</w:t>
            </w:r>
          </w:p>
          <w:p w14:paraId="7B489C5B" w14:textId="77777777" w:rsidR="00AF536E" w:rsidRPr="009D0B76" w:rsidRDefault="00AF536E"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Във Формуляра за кандидатстване кандидатите следва да представят допълнителни обосновки във връзка с критериите за подбор, които ще се вземат предвид при оценка на проектното предложение.</w:t>
            </w:r>
          </w:p>
          <w:p w14:paraId="2BA35C00" w14:textId="77777777" w:rsidR="00684ED4" w:rsidRPr="009D0B76" w:rsidRDefault="00684ED4"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lastRenderedPageBreak/>
              <w:t xml:space="preserve">Приоритетните критерии са подредени по тежест, както следва: </w:t>
            </w:r>
          </w:p>
          <w:tbl>
            <w:tblPr>
              <w:tblStyle w:val="TableGrid"/>
              <w:tblW w:w="8551" w:type="dxa"/>
              <w:jc w:val="center"/>
              <w:tblLook w:val="04A0" w:firstRow="1" w:lastRow="0" w:firstColumn="1" w:lastColumn="0" w:noHBand="0" w:noVBand="1"/>
            </w:tblPr>
            <w:tblGrid>
              <w:gridCol w:w="487"/>
              <w:gridCol w:w="6372"/>
              <w:gridCol w:w="1692"/>
            </w:tblGrid>
            <w:tr w:rsidR="00526DAD" w:rsidRPr="009D0B76" w14:paraId="2ED4CF7F" w14:textId="77777777" w:rsidTr="003E7EE4">
              <w:trPr>
                <w:jc w:val="center"/>
              </w:trPr>
              <w:tc>
                <w:tcPr>
                  <w:tcW w:w="487" w:type="dxa"/>
                  <w:shd w:val="clear" w:color="auto" w:fill="A5A5A5" w:themeFill="accent3"/>
                  <w:vAlign w:val="center"/>
                </w:tcPr>
                <w:p w14:paraId="350D391A"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w:t>
                  </w:r>
                </w:p>
              </w:tc>
              <w:tc>
                <w:tcPr>
                  <w:tcW w:w="6372" w:type="dxa"/>
                  <w:shd w:val="clear" w:color="auto" w:fill="A5A5A5" w:themeFill="accent3"/>
                  <w:vAlign w:val="center"/>
                </w:tcPr>
                <w:p w14:paraId="575470C3"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Критерии за оценка</w:t>
                  </w:r>
                </w:p>
              </w:tc>
              <w:tc>
                <w:tcPr>
                  <w:tcW w:w="1692" w:type="dxa"/>
                  <w:shd w:val="clear" w:color="auto" w:fill="A5A5A5" w:themeFill="accent3"/>
                  <w:vAlign w:val="center"/>
                </w:tcPr>
                <w:p w14:paraId="5D76CC45"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Тежест на показателите</w:t>
                  </w:r>
                </w:p>
                <w:p w14:paraId="31874E55"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(бр. точки)</w:t>
                  </w:r>
                </w:p>
              </w:tc>
            </w:tr>
            <w:tr w:rsidR="00526DAD" w:rsidRPr="009D0B76" w14:paraId="215F7F03" w14:textId="77777777" w:rsidTr="003E7EE4">
              <w:trPr>
                <w:jc w:val="center"/>
              </w:trPr>
              <w:tc>
                <w:tcPr>
                  <w:tcW w:w="487" w:type="dxa"/>
                </w:tcPr>
                <w:p w14:paraId="352912F4"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1</w:t>
                  </w:r>
                </w:p>
              </w:tc>
              <w:tc>
                <w:tcPr>
                  <w:tcW w:w="6372" w:type="dxa"/>
                  <w:vAlign w:val="center"/>
                </w:tcPr>
                <w:p w14:paraId="03C8EFFD"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Брой население, което ще се възползва от изградената и/или реконструирана инфраструктура, вкл. техническа, социална, културна и спортна, и обхвата на териториално въздействие</w:t>
                  </w:r>
                </w:p>
              </w:tc>
              <w:tc>
                <w:tcPr>
                  <w:tcW w:w="1692" w:type="dxa"/>
                  <w:vAlign w:val="center"/>
                </w:tcPr>
                <w:p w14:paraId="4EAB6C1D"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15</w:t>
                  </w:r>
                </w:p>
              </w:tc>
            </w:tr>
            <w:tr w:rsidR="00526DAD" w:rsidRPr="009D0B76" w14:paraId="0020CEFE" w14:textId="77777777" w:rsidTr="003E7EE4">
              <w:trPr>
                <w:jc w:val="center"/>
              </w:trPr>
              <w:tc>
                <w:tcPr>
                  <w:tcW w:w="487" w:type="dxa"/>
                </w:tcPr>
                <w:p w14:paraId="67984DD6"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2</w:t>
                  </w:r>
                </w:p>
              </w:tc>
              <w:tc>
                <w:tcPr>
                  <w:tcW w:w="6372" w:type="dxa"/>
                  <w:vAlign w:val="center"/>
                </w:tcPr>
                <w:p w14:paraId="58EEE9FA"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Дейностите по проектното предложение са свързани с развитието на интегриран селски туризъм или са обвързани с други мерки на СМР</w:t>
                  </w:r>
                </w:p>
              </w:tc>
              <w:tc>
                <w:tcPr>
                  <w:tcW w:w="1692" w:type="dxa"/>
                  <w:vAlign w:val="center"/>
                </w:tcPr>
                <w:p w14:paraId="6092F07D"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15</w:t>
                  </w:r>
                </w:p>
              </w:tc>
            </w:tr>
            <w:tr w:rsidR="00526DAD" w:rsidRPr="009D0B76" w14:paraId="1246D31C" w14:textId="77777777" w:rsidTr="003E7EE4">
              <w:trPr>
                <w:jc w:val="center"/>
              </w:trPr>
              <w:tc>
                <w:tcPr>
                  <w:tcW w:w="487" w:type="dxa"/>
                </w:tcPr>
                <w:p w14:paraId="05B1A91D"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3</w:t>
                  </w:r>
                </w:p>
              </w:tc>
              <w:tc>
                <w:tcPr>
                  <w:tcW w:w="6372" w:type="dxa"/>
                  <w:vAlign w:val="center"/>
                </w:tcPr>
                <w:p w14:paraId="0BB171EA"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Дейностите по проектното предложение са в съответствие с Общинския план за развитие</w:t>
                  </w:r>
                </w:p>
              </w:tc>
              <w:tc>
                <w:tcPr>
                  <w:tcW w:w="1692" w:type="dxa"/>
                  <w:vAlign w:val="center"/>
                </w:tcPr>
                <w:p w14:paraId="316BDE95"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10</w:t>
                  </w:r>
                </w:p>
              </w:tc>
            </w:tr>
            <w:tr w:rsidR="00526DAD" w:rsidRPr="009D0B76" w14:paraId="7A35077C" w14:textId="77777777" w:rsidTr="003E7EE4">
              <w:trPr>
                <w:jc w:val="center"/>
              </w:trPr>
              <w:tc>
                <w:tcPr>
                  <w:tcW w:w="487" w:type="dxa"/>
                </w:tcPr>
                <w:p w14:paraId="421D9441"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4</w:t>
                  </w:r>
                </w:p>
              </w:tc>
              <w:tc>
                <w:tcPr>
                  <w:tcW w:w="6372" w:type="dxa"/>
                  <w:vAlign w:val="center"/>
                </w:tcPr>
                <w:p w14:paraId="03CD50DB"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Проектното предложение предлага нови инициативи за повишаване на качеството на живот в района</w:t>
                  </w:r>
                </w:p>
              </w:tc>
              <w:tc>
                <w:tcPr>
                  <w:tcW w:w="1692" w:type="dxa"/>
                  <w:vAlign w:val="center"/>
                </w:tcPr>
                <w:p w14:paraId="76A38512"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10</w:t>
                  </w:r>
                </w:p>
              </w:tc>
            </w:tr>
            <w:tr w:rsidR="00526DAD" w:rsidRPr="009D0B76" w14:paraId="1DDA995C" w14:textId="77777777" w:rsidTr="003E7EE4">
              <w:trPr>
                <w:jc w:val="center"/>
              </w:trPr>
              <w:tc>
                <w:tcPr>
                  <w:tcW w:w="487" w:type="dxa"/>
                </w:tcPr>
                <w:p w14:paraId="5F6D1B4D"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5</w:t>
                  </w:r>
                </w:p>
              </w:tc>
              <w:tc>
                <w:tcPr>
                  <w:tcW w:w="6372" w:type="dxa"/>
                  <w:vAlign w:val="center"/>
                </w:tcPr>
                <w:p w14:paraId="77BD5187"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Проектното предложение осигурява базови услуги за населението и/или подобряване на публична инфраструктура, вкл. достъпна архитектурна среда за хора с увреждания</w:t>
                  </w:r>
                </w:p>
              </w:tc>
              <w:tc>
                <w:tcPr>
                  <w:tcW w:w="1692" w:type="dxa"/>
                  <w:vAlign w:val="center"/>
                </w:tcPr>
                <w:p w14:paraId="34EDB236"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20</w:t>
                  </w:r>
                </w:p>
              </w:tc>
            </w:tr>
            <w:tr w:rsidR="00526DAD" w:rsidRPr="009D0B76" w14:paraId="5BE1BDE2" w14:textId="77777777" w:rsidTr="003E7EE4">
              <w:trPr>
                <w:jc w:val="center"/>
              </w:trPr>
              <w:tc>
                <w:tcPr>
                  <w:tcW w:w="487" w:type="dxa"/>
                </w:tcPr>
                <w:p w14:paraId="663A2CCB"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6</w:t>
                  </w:r>
                </w:p>
              </w:tc>
              <w:tc>
                <w:tcPr>
                  <w:tcW w:w="6372" w:type="dxa"/>
                  <w:vAlign w:val="center"/>
                </w:tcPr>
                <w:p w14:paraId="60D567CC"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Проектното предложение включва комбинирани дейности по опазване на природното и културното наследство</w:t>
                  </w:r>
                </w:p>
              </w:tc>
              <w:tc>
                <w:tcPr>
                  <w:tcW w:w="1692" w:type="dxa"/>
                  <w:vAlign w:val="center"/>
                </w:tcPr>
                <w:p w14:paraId="75FBE734"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10</w:t>
                  </w:r>
                </w:p>
              </w:tc>
            </w:tr>
            <w:tr w:rsidR="00526DAD" w:rsidRPr="009D0B76" w14:paraId="37872E9D" w14:textId="77777777" w:rsidTr="003E7EE4">
              <w:trPr>
                <w:jc w:val="center"/>
              </w:trPr>
              <w:tc>
                <w:tcPr>
                  <w:tcW w:w="487" w:type="dxa"/>
                </w:tcPr>
                <w:p w14:paraId="7E3E7B03"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7</w:t>
                  </w:r>
                </w:p>
              </w:tc>
              <w:tc>
                <w:tcPr>
                  <w:tcW w:w="6372" w:type="dxa"/>
                  <w:vAlign w:val="center"/>
                </w:tcPr>
                <w:p w14:paraId="3E022238"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Заявлението за кандидатстване съдържа технически/ работен проект на инвестицията</w:t>
                  </w:r>
                </w:p>
              </w:tc>
              <w:tc>
                <w:tcPr>
                  <w:tcW w:w="1692" w:type="dxa"/>
                  <w:vAlign w:val="center"/>
                </w:tcPr>
                <w:p w14:paraId="72E78932"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10</w:t>
                  </w:r>
                </w:p>
              </w:tc>
            </w:tr>
            <w:tr w:rsidR="00526DAD" w:rsidRPr="009D0B76" w14:paraId="272CB7A3" w14:textId="77777777" w:rsidTr="003E7EE4">
              <w:trPr>
                <w:jc w:val="center"/>
              </w:trPr>
              <w:tc>
                <w:tcPr>
                  <w:tcW w:w="487" w:type="dxa"/>
                </w:tcPr>
                <w:p w14:paraId="581402CB"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8</w:t>
                  </w:r>
                </w:p>
              </w:tc>
              <w:tc>
                <w:tcPr>
                  <w:tcW w:w="6372" w:type="dxa"/>
                  <w:vAlign w:val="center"/>
                </w:tcPr>
                <w:p w14:paraId="12BC03B6"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 xml:space="preserve">Проектното предложение е консултирано с местната общност </w:t>
                  </w:r>
                </w:p>
              </w:tc>
              <w:tc>
                <w:tcPr>
                  <w:tcW w:w="1692" w:type="dxa"/>
                  <w:vAlign w:val="center"/>
                </w:tcPr>
                <w:p w14:paraId="51E7080D"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5</w:t>
                  </w:r>
                </w:p>
              </w:tc>
            </w:tr>
            <w:tr w:rsidR="00526DAD" w:rsidRPr="009D0B76" w14:paraId="0241E622" w14:textId="77777777" w:rsidTr="003E7EE4">
              <w:trPr>
                <w:jc w:val="center"/>
              </w:trPr>
              <w:tc>
                <w:tcPr>
                  <w:tcW w:w="487" w:type="dxa"/>
                </w:tcPr>
                <w:p w14:paraId="798DA4AE"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9</w:t>
                  </w:r>
                </w:p>
              </w:tc>
              <w:tc>
                <w:tcPr>
                  <w:tcW w:w="6372" w:type="dxa"/>
                  <w:vAlign w:val="center"/>
                </w:tcPr>
                <w:p w14:paraId="49F39774" w14:textId="77777777" w:rsidR="00526DAD" w:rsidRPr="009D0B76" w:rsidRDefault="00526DAD" w:rsidP="009D0B76">
                  <w:pPr>
                    <w:spacing w:line="276" w:lineRule="auto"/>
                    <w:jc w:val="both"/>
                    <w:rPr>
                      <w:rFonts w:ascii="Times New Roman" w:eastAsiaTheme="minorHAnsi" w:hAnsi="Times New Roman"/>
                      <w:sz w:val="24"/>
                      <w:szCs w:val="24"/>
                      <w:lang w:val="bg-BG"/>
                    </w:rPr>
                  </w:pPr>
                  <w:r w:rsidRPr="009D0B76">
                    <w:rPr>
                      <w:rFonts w:ascii="Times New Roman" w:eastAsiaTheme="minorHAnsi" w:hAnsi="Times New Roman"/>
                      <w:sz w:val="24"/>
                      <w:szCs w:val="24"/>
                      <w:lang w:val="bg-BG"/>
                    </w:rPr>
                    <w:t>Кандидатът не е получавал подкрепа от Общността за подобна инвестиция по други програми</w:t>
                  </w:r>
                </w:p>
              </w:tc>
              <w:tc>
                <w:tcPr>
                  <w:tcW w:w="1692" w:type="dxa"/>
                  <w:vAlign w:val="center"/>
                </w:tcPr>
                <w:p w14:paraId="21061AE1"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5</w:t>
                  </w:r>
                </w:p>
              </w:tc>
            </w:tr>
            <w:tr w:rsidR="00526DAD" w:rsidRPr="009D0B76" w14:paraId="7AB19ECE" w14:textId="77777777" w:rsidTr="003E7EE4">
              <w:trPr>
                <w:jc w:val="center"/>
              </w:trPr>
              <w:tc>
                <w:tcPr>
                  <w:tcW w:w="487" w:type="dxa"/>
                </w:tcPr>
                <w:p w14:paraId="35266943" w14:textId="77777777" w:rsidR="00526DAD" w:rsidRPr="009D0B76" w:rsidRDefault="00526DAD" w:rsidP="009D0B76">
                  <w:pPr>
                    <w:spacing w:line="276" w:lineRule="auto"/>
                    <w:jc w:val="both"/>
                    <w:rPr>
                      <w:rFonts w:ascii="Times New Roman" w:eastAsiaTheme="minorHAnsi" w:hAnsi="Times New Roman"/>
                      <w:b/>
                      <w:sz w:val="24"/>
                      <w:szCs w:val="24"/>
                      <w:lang w:val="bg-BG"/>
                    </w:rPr>
                  </w:pPr>
                </w:p>
              </w:tc>
              <w:tc>
                <w:tcPr>
                  <w:tcW w:w="6372" w:type="dxa"/>
                </w:tcPr>
                <w:p w14:paraId="1DA1110D"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Максимален брой точки:</w:t>
                  </w:r>
                </w:p>
              </w:tc>
              <w:tc>
                <w:tcPr>
                  <w:tcW w:w="1692" w:type="dxa"/>
                  <w:vAlign w:val="center"/>
                </w:tcPr>
                <w:p w14:paraId="4717E4CE" w14:textId="77777777" w:rsidR="00526DAD" w:rsidRPr="009D0B76" w:rsidRDefault="00526DAD" w:rsidP="009D0B76">
                  <w:pPr>
                    <w:spacing w:line="276" w:lineRule="auto"/>
                    <w:jc w:val="both"/>
                    <w:rPr>
                      <w:rFonts w:ascii="Times New Roman" w:eastAsiaTheme="minorHAnsi" w:hAnsi="Times New Roman"/>
                      <w:b/>
                      <w:sz w:val="24"/>
                      <w:szCs w:val="24"/>
                      <w:lang w:val="bg-BG"/>
                    </w:rPr>
                  </w:pPr>
                  <w:r w:rsidRPr="009D0B76">
                    <w:rPr>
                      <w:rFonts w:ascii="Times New Roman" w:eastAsiaTheme="minorHAnsi" w:hAnsi="Times New Roman"/>
                      <w:b/>
                      <w:sz w:val="24"/>
                      <w:szCs w:val="24"/>
                      <w:lang w:val="bg-BG"/>
                    </w:rPr>
                    <w:t>100</w:t>
                  </w:r>
                </w:p>
              </w:tc>
            </w:tr>
          </w:tbl>
          <w:p w14:paraId="0B263B3A" w14:textId="77777777" w:rsidR="00684ED4" w:rsidRPr="009D0B76" w:rsidRDefault="00684ED4" w:rsidP="009D0B76">
            <w:pPr>
              <w:spacing w:after="0" w:line="276" w:lineRule="auto"/>
              <w:jc w:val="both"/>
              <w:rPr>
                <w:rFonts w:ascii="Times New Roman" w:eastAsiaTheme="minorHAnsi" w:hAnsi="Times New Roman"/>
                <w:b/>
                <w:sz w:val="24"/>
                <w:szCs w:val="24"/>
              </w:rPr>
            </w:pPr>
          </w:p>
        </w:tc>
      </w:tr>
    </w:tbl>
    <w:p w14:paraId="1E46F40D" w14:textId="77777777" w:rsidR="00684ED4" w:rsidRPr="009D0B76" w:rsidRDefault="00684ED4" w:rsidP="009D0B76">
      <w:pPr>
        <w:spacing w:after="0" w:line="276" w:lineRule="auto"/>
        <w:jc w:val="both"/>
        <w:rPr>
          <w:rFonts w:ascii="Times New Roman" w:eastAsiaTheme="minorHAnsi" w:hAnsi="Times New Roman"/>
          <w:b/>
          <w:sz w:val="24"/>
          <w:szCs w:val="24"/>
        </w:rPr>
      </w:pPr>
    </w:p>
    <w:p w14:paraId="230D5A3C" w14:textId="77777777" w:rsidR="009371E6" w:rsidRPr="009D0B76" w:rsidRDefault="009371E6" w:rsidP="009D0B76">
      <w:pPr>
        <w:tabs>
          <w:tab w:val="left" w:pos="630"/>
          <w:tab w:val="left" w:pos="1140"/>
        </w:tabs>
        <w:spacing w:before="120" w:after="120"/>
        <w:jc w:val="both"/>
        <w:rPr>
          <w:rFonts w:ascii="Times New Roman" w:hAnsi="Times New Roman"/>
          <w:b/>
          <w:sz w:val="24"/>
          <w:szCs w:val="24"/>
        </w:rPr>
      </w:pPr>
      <w:r w:rsidRPr="009D0B76">
        <w:rPr>
          <w:rFonts w:ascii="Times New Roman" w:hAnsi="Times New Roman"/>
          <w:sz w:val="24"/>
          <w:szCs w:val="24"/>
        </w:rPr>
        <w:t xml:space="preserve">Подпомагат се проектни предложения, получили </w:t>
      </w:r>
      <w:r w:rsidRPr="009D0B76">
        <w:rPr>
          <w:rFonts w:ascii="Times New Roman" w:hAnsi="Times New Roman"/>
          <w:b/>
          <w:sz w:val="24"/>
          <w:szCs w:val="24"/>
        </w:rPr>
        <w:t>не по-малко от 30 точки</w:t>
      </w:r>
      <w:r w:rsidRPr="009D0B76">
        <w:rPr>
          <w:rFonts w:ascii="Times New Roman" w:hAnsi="Times New Roman"/>
          <w:sz w:val="24"/>
          <w:szCs w:val="24"/>
        </w:rPr>
        <w:t xml:space="preserve"> по критериите за оценка.</w:t>
      </w:r>
    </w:p>
    <w:p w14:paraId="524B7C86" w14:textId="77777777" w:rsidR="009371E6" w:rsidRPr="009D0B76" w:rsidRDefault="009371E6" w:rsidP="009D0B76">
      <w:pPr>
        <w:spacing w:after="0" w:line="276" w:lineRule="auto"/>
        <w:jc w:val="both"/>
        <w:rPr>
          <w:rFonts w:ascii="Times New Roman" w:eastAsiaTheme="minorHAnsi" w:hAnsi="Times New Roman"/>
          <w:b/>
          <w:sz w:val="24"/>
          <w:szCs w:val="24"/>
        </w:rPr>
      </w:pPr>
    </w:p>
    <w:p w14:paraId="34F4FA85" w14:textId="77777777" w:rsidR="0042292D" w:rsidRPr="009D0B76" w:rsidRDefault="0042292D" w:rsidP="009D0B76">
      <w:pPr>
        <w:spacing w:after="0" w:line="276" w:lineRule="auto"/>
        <w:jc w:val="both"/>
        <w:rPr>
          <w:rFonts w:ascii="Times New Roman" w:eastAsiaTheme="minorHAnsi" w:hAnsi="Times New Roman"/>
          <w:b/>
          <w:sz w:val="24"/>
          <w:szCs w:val="24"/>
        </w:rPr>
      </w:pPr>
    </w:p>
    <w:p w14:paraId="353B91FD" w14:textId="77777777" w:rsidR="00CF0107" w:rsidRPr="009D0B76" w:rsidRDefault="00CF0107"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color w:val="5B9BD5" w:themeColor="accent1"/>
          <w:sz w:val="24"/>
          <w:szCs w:val="24"/>
        </w:rPr>
        <w:t xml:space="preserve">23.Начин на подаване на проектните предложения/ концепциите за проектни предложения: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CF0107" w:rsidRPr="009D0B76" w14:paraId="77C79AA2" w14:textId="77777777" w:rsidTr="004848AA">
        <w:tc>
          <w:tcPr>
            <w:tcW w:w="9322" w:type="dxa"/>
          </w:tcPr>
          <w:p w14:paraId="495C704D" w14:textId="77777777" w:rsidR="00CF0107" w:rsidRPr="009D0B76" w:rsidRDefault="00CF0107"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Документите се подават в ИСУН в срока, определен в настоящите насоки, съгласно условията и реда на Наредба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Постановление № 243 на Министерския съвет от 2016 г. (обн., ДВ, бр. 76 от 2016 г.).</w:t>
            </w:r>
          </w:p>
          <w:p w14:paraId="7A4D0832" w14:textId="77777777" w:rsidR="00CF0107" w:rsidRPr="009D0B76" w:rsidRDefault="00CF0107"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Подаването на проект</w:t>
            </w:r>
            <w:r w:rsidR="00CF2342">
              <w:rPr>
                <w:rFonts w:ascii="Times New Roman" w:eastAsiaTheme="minorHAnsi" w:hAnsi="Times New Roman"/>
                <w:sz w:val="24"/>
                <w:szCs w:val="24"/>
              </w:rPr>
              <w:t>ни предложения към стратегията</w:t>
            </w:r>
            <w:r w:rsidR="0060141E">
              <w:rPr>
                <w:rFonts w:ascii="Times New Roman" w:eastAsiaTheme="minorHAnsi" w:hAnsi="Times New Roman"/>
                <w:sz w:val="24"/>
                <w:szCs w:val="24"/>
              </w:rPr>
              <w:t xml:space="preserve"> </w:t>
            </w:r>
            <w:r w:rsidRPr="009D0B76">
              <w:rPr>
                <w:rFonts w:ascii="Times New Roman" w:eastAsiaTheme="minorHAnsi" w:hAnsi="Times New Roman"/>
                <w:sz w:val="24"/>
                <w:szCs w:val="24"/>
              </w:rPr>
              <w:t>за ВОМР по настоящата процедура се извършва по електронен път чрез попълване на уеб базиран формуляр за кандидатстване</w:t>
            </w:r>
            <w:r w:rsidR="007E51AB">
              <w:rPr>
                <w:rFonts w:ascii="Times New Roman" w:eastAsiaTheme="minorHAnsi" w:hAnsi="Times New Roman"/>
                <w:sz w:val="24"/>
                <w:szCs w:val="24"/>
              </w:rPr>
              <w:t xml:space="preserve"> </w:t>
            </w:r>
            <w:r w:rsidRPr="009D0B76">
              <w:rPr>
                <w:rFonts w:ascii="Times New Roman" w:eastAsiaTheme="minorHAnsi" w:hAnsi="Times New Roman"/>
                <w:sz w:val="24"/>
                <w:szCs w:val="24"/>
              </w:rPr>
              <w:t xml:space="preserve">с използването на квалифициран електронен подпис (КЕП), чрез модула „Е-кандидатстване“ на следния интернет адрес: </w:t>
            </w:r>
            <w:hyperlink r:id="rId8" w:history="1">
              <w:r w:rsidRPr="009D0B76">
                <w:rPr>
                  <w:rFonts w:ascii="Times New Roman" w:eastAsiaTheme="minorHAnsi" w:hAnsi="Times New Roman"/>
                  <w:sz w:val="24"/>
                  <w:szCs w:val="24"/>
                </w:rPr>
                <w:t>https://eumis2020.government.bg</w:t>
              </w:r>
            </w:hyperlink>
            <w:r w:rsidRPr="009D0B76">
              <w:rPr>
                <w:rFonts w:ascii="Times New Roman" w:eastAsiaTheme="minorHAnsi" w:hAnsi="Times New Roman"/>
                <w:sz w:val="24"/>
                <w:szCs w:val="24"/>
              </w:rPr>
              <w:t xml:space="preserve"> и се прилагат документите от раздел 24 на настоящите указания „Списък на документите, които се подават на етап кандидатстване“. Документите от раздел 24 се подават във формат </w:t>
            </w:r>
            <w:r w:rsidR="0003260E">
              <w:rPr>
                <w:rFonts w:ascii="Times New Roman" w:eastAsiaTheme="minorHAnsi" w:hAnsi="Times New Roman"/>
                <w:sz w:val="24"/>
                <w:szCs w:val="24"/>
                <w:lang w:val="en-US"/>
              </w:rPr>
              <w:t>“doc”, “docx”,</w:t>
            </w:r>
            <w:r w:rsidR="0003260E" w:rsidRPr="009D0B76">
              <w:rPr>
                <w:rFonts w:ascii="Times New Roman" w:eastAsiaTheme="minorHAnsi" w:hAnsi="Times New Roman"/>
                <w:sz w:val="24"/>
                <w:szCs w:val="24"/>
              </w:rPr>
              <w:t xml:space="preserve"> „xls”</w:t>
            </w:r>
            <w:r w:rsidR="0003260E">
              <w:rPr>
                <w:rFonts w:ascii="Times New Roman" w:eastAsiaTheme="minorHAnsi" w:hAnsi="Times New Roman"/>
                <w:sz w:val="24"/>
                <w:szCs w:val="24"/>
              </w:rPr>
              <w:t xml:space="preserve">, </w:t>
            </w:r>
            <w:r w:rsidR="0003260E">
              <w:rPr>
                <w:rFonts w:ascii="Times New Roman" w:eastAsiaTheme="minorHAnsi" w:hAnsi="Times New Roman"/>
                <w:sz w:val="24"/>
                <w:szCs w:val="24"/>
                <w:lang w:val="en-US"/>
              </w:rPr>
              <w:t xml:space="preserve">“xlsm”, “xlsx” </w:t>
            </w:r>
            <w:r w:rsidRPr="009D0B76">
              <w:rPr>
                <w:rFonts w:ascii="Times New Roman" w:eastAsiaTheme="minorHAnsi" w:hAnsi="Times New Roman"/>
                <w:sz w:val="24"/>
                <w:szCs w:val="24"/>
              </w:rPr>
              <w:t>„pdf“,</w:t>
            </w:r>
            <w:r w:rsidR="0003260E">
              <w:rPr>
                <w:rFonts w:ascii="Times New Roman" w:eastAsiaTheme="minorHAnsi" w:hAnsi="Times New Roman"/>
                <w:sz w:val="24"/>
                <w:szCs w:val="24"/>
                <w:lang w:val="en-US"/>
              </w:rPr>
              <w:t xml:space="preserve"> “jpg”, “rar”</w:t>
            </w:r>
            <w:r w:rsidRPr="009D0B76">
              <w:rPr>
                <w:rFonts w:ascii="Times New Roman" w:eastAsiaTheme="minorHAnsi" w:hAnsi="Times New Roman"/>
                <w:sz w:val="24"/>
                <w:szCs w:val="24"/>
              </w:rPr>
              <w:t xml:space="preserve"> или друг формат, </w:t>
            </w:r>
            <w:r w:rsidR="0003260E">
              <w:rPr>
                <w:rFonts w:ascii="Times New Roman" w:eastAsiaTheme="minorHAnsi" w:hAnsi="Times New Roman"/>
                <w:sz w:val="24"/>
                <w:szCs w:val="24"/>
              </w:rPr>
              <w:t xml:space="preserve">изрично </w:t>
            </w:r>
            <w:r w:rsidRPr="009D0B76">
              <w:rPr>
                <w:rFonts w:ascii="Times New Roman" w:eastAsiaTheme="minorHAnsi" w:hAnsi="Times New Roman"/>
                <w:sz w:val="24"/>
                <w:szCs w:val="24"/>
              </w:rPr>
              <w:t>указан в раздел 24 „Списък на документите, които се подават на етап кандидатстване.</w:t>
            </w:r>
          </w:p>
          <w:p w14:paraId="78405847" w14:textId="77777777" w:rsidR="00CF0107" w:rsidRPr="009D0B76" w:rsidRDefault="00CF0107"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Кандидатът влиза в ИСУН 2020, след регистрация чрез е-мейл адрес и парола, избира настоящата процедура за кандидатстване от „Отворени процедури“ и създава ново проектно предложение. Документите от раздел 24 на настоящите указания се прикачат в т. 12 от формуляра за кандидатстване.</w:t>
            </w:r>
          </w:p>
          <w:p w14:paraId="57878E35" w14:textId="77777777" w:rsidR="00CF0107" w:rsidRPr="009D0B76" w:rsidRDefault="00CF0107"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ВАЖНО!: Формулярът за кандидатстване се подава с КЕП от законния представител на кандидата. В случаите, когато кандидатът се представлява заедно от няколко физически лица, формулярът за кандидатстване се подписва от всяко от тях. Когато формулярът за кандидатстване не е подписан с КЕП от законния представител/и на кандидата се прикача нотариално/и заверено/и изрично/и пълномощно/и във формат </w:t>
            </w:r>
            <w:r w:rsidR="0003260E">
              <w:rPr>
                <w:rFonts w:ascii="Times New Roman" w:eastAsiaTheme="minorHAnsi" w:hAnsi="Times New Roman"/>
                <w:sz w:val="24"/>
                <w:szCs w:val="24"/>
                <w:lang w:val="en-US"/>
              </w:rPr>
              <w:t>“doc”, “docx”,</w:t>
            </w:r>
            <w:r w:rsidR="0003260E" w:rsidRPr="009D0B76">
              <w:rPr>
                <w:rFonts w:ascii="Times New Roman" w:eastAsiaTheme="minorHAnsi" w:hAnsi="Times New Roman"/>
                <w:sz w:val="24"/>
                <w:szCs w:val="24"/>
              </w:rPr>
              <w:t xml:space="preserve"> „xls”</w:t>
            </w:r>
            <w:r w:rsidR="0003260E">
              <w:rPr>
                <w:rFonts w:ascii="Times New Roman" w:eastAsiaTheme="minorHAnsi" w:hAnsi="Times New Roman"/>
                <w:sz w:val="24"/>
                <w:szCs w:val="24"/>
              </w:rPr>
              <w:t xml:space="preserve">, </w:t>
            </w:r>
            <w:r w:rsidR="0003260E">
              <w:rPr>
                <w:rFonts w:ascii="Times New Roman" w:eastAsiaTheme="minorHAnsi" w:hAnsi="Times New Roman"/>
                <w:sz w:val="24"/>
                <w:szCs w:val="24"/>
                <w:lang w:val="en-US"/>
              </w:rPr>
              <w:t xml:space="preserve">“xlsm”, “xlsx” </w:t>
            </w:r>
            <w:r w:rsidR="0003260E" w:rsidRPr="009D0B76">
              <w:rPr>
                <w:rFonts w:ascii="Times New Roman" w:eastAsiaTheme="minorHAnsi" w:hAnsi="Times New Roman"/>
                <w:sz w:val="24"/>
                <w:szCs w:val="24"/>
              </w:rPr>
              <w:t>„pdf“,</w:t>
            </w:r>
            <w:r w:rsidR="0003260E">
              <w:rPr>
                <w:rFonts w:ascii="Times New Roman" w:eastAsiaTheme="minorHAnsi" w:hAnsi="Times New Roman"/>
                <w:sz w:val="24"/>
                <w:szCs w:val="24"/>
                <w:lang w:val="en-US"/>
              </w:rPr>
              <w:t xml:space="preserve"> “jpg”, “rar”</w:t>
            </w:r>
            <w:r w:rsidR="0003260E" w:rsidRPr="009D0B76">
              <w:rPr>
                <w:rFonts w:ascii="Times New Roman" w:eastAsiaTheme="minorHAnsi" w:hAnsi="Times New Roman"/>
                <w:sz w:val="24"/>
                <w:szCs w:val="24"/>
              </w:rPr>
              <w:t xml:space="preserve"> </w:t>
            </w:r>
            <w:r w:rsidRPr="009D0B76">
              <w:rPr>
                <w:rFonts w:ascii="Times New Roman" w:eastAsiaTheme="minorHAnsi" w:hAnsi="Times New Roman"/>
                <w:sz w:val="24"/>
                <w:szCs w:val="24"/>
              </w:rPr>
              <w:t>или друг формат, подписано с КЕП на упълномощеното/ите лице./а. От текста на пълномощното/ите следва да става ясно, че лицето/лицата с право да представляват кандидата упълномощава/т пълномощника да подаде от негово/тяхно име формуляра за кандидатстване, като го подпише с КЕП и приложи документите, които са неразделна част от формуляра.</w:t>
            </w:r>
          </w:p>
          <w:p w14:paraId="06676F2F" w14:textId="77777777" w:rsidR="00CF0107" w:rsidRPr="009D0B76" w:rsidRDefault="00CF0107"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lastRenderedPageBreak/>
              <w:t>Моля, обърнете внимание, че формуляра за кандидатстване трябва да се подава от профила на кандидата, тъй като впоследствие ще бъде използван този профил за комуникация с КППП и за отстраняване на липса на документи и/или неяснота или неточност по време на оценката. По време на оценката на проектното предложение комуникацията с кандидата и редакцията на забелязани липси на документи и/или неясноти, или неточности ще се извършва електронно чрез профила на кандидата в ИСУН 2020, от който е подадено съответното проектно предложение и промени на посочения профил (вкл. промяна на имейл адреса, асоцииран към съответния профил) са недопустими. 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Важно е кандидатите да разполагат винаги с достъп до имейл адреса, към който е асоцииран профила в ИСУН 2020.</w:t>
            </w:r>
          </w:p>
          <w:p w14:paraId="49210F14" w14:textId="77777777" w:rsidR="00CF0107" w:rsidRPr="009D0B76" w:rsidRDefault="00CF0107"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До приключването на работата на КППП кандидатът има възможност да оттегли своя формуляр за кандидатстване като подаде писмено искане в Комисията за подбор на проектни предложения, като това обстоятелство се отбелязва от потребител на ИСУН 2020 от Комисията със съответните права.</w:t>
            </w:r>
          </w:p>
          <w:p w14:paraId="144C442A" w14:textId="77777777" w:rsidR="00CF0107" w:rsidRPr="009D0B76" w:rsidRDefault="00CF0107"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Кандидатът  може да иска разяснения по настоящите насоки в срок до три седмици преди изтичането на срока за кандидатстване. Разясненията се утвърждават от председателя на УС на МИГ  или от оправомощено от него лице. Разясненията се дават по отношение на условията за кандидатстване, не съдържат становище относно качеството на проектните предложения и са задължителни за всички кандидати. </w:t>
            </w:r>
          </w:p>
          <w:p w14:paraId="4CDFC730" w14:textId="77777777" w:rsidR="00CF0107" w:rsidRPr="009D0B76" w:rsidRDefault="00CF0107"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Когато въпросът е от компетентността на  УО на ПРСР  или ДФЗ МИГ предварително изисква писмено разяснение по поставените въпроси. Въпросите следва да адресират до МИГ – Костинброд - Своге. Разясненията се съобщават в 10-дневен срок от получаването на искането, но не по-късно от две седмици преди изтичането на срока за кандидатстване, посочен в обявата.</w:t>
            </w:r>
          </w:p>
          <w:p w14:paraId="3FE964AA" w14:textId="77777777" w:rsidR="00CF0107" w:rsidRPr="00743906" w:rsidRDefault="00CF0107"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Условията за кандидатстване </w:t>
            </w:r>
            <w:r w:rsidRPr="009D0B76" w:rsidDel="00932679">
              <w:rPr>
                <w:rFonts w:ascii="Times New Roman" w:eastAsiaTheme="minorHAnsi" w:hAnsi="Times New Roman"/>
                <w:sz w:val="24"/>
                <w:szCs w:val="24"/>
              </w:rPr>
              <w:t>мо</w:t>
            </w:r>
            <w:r w:rsidRPr="009D0B76">
              <w:rPr>
                <w:rFonts w:ascii="Times New Roman" w:eastAsiaTheme="minorHAnsi" w:hAnsi="Times New Roman"/>
                <w:sz w:val="24"/>
                <w:szCs w:val="24"/>
              </w:rPr>
              <w:t>гат</w:t>
            </w:r>
            <w:r w:rsidRPr="009D0B76" w:rsidDel="00932679">
              <w:rPr>
                <w:rFonts w:ascii="Times New Roman" w:eastAsiaTheme="minorHAnsi" w:hAnsi="Times New Roman"/>
                <w:sz w:val="24"/>
                <w:szCs w:val="24"/>
              </w:rPr>
              <w:t xml:space="preserve"> да бъд</w:t>
            </w:r>
            <w:r w:rsidRPr="009D0B76">
              <w:rPr>
                <w:rFonts w:ascii="Times New Roman" w:eastAsiaTheme="minorHAnsi" w:hAnsi="Times New Roman"/>
                <w:sz w:val="24"/>
                <w:szCs w:val="24"/>
              </w:rPr>
              <w:t>ат</w:t>
            </w:r>
            <w:r w:rsidRPr="009D0B76" w:rsidDel="00932679">
              <w:rPr>
                <w:rFonts w:ascii="Times New Roman" w:eastAsiaTheme="minorHAnsi" w:hAnsi="Times New Roman"/>
                <w:sz w:val="24"/>
                <w:szCs w:val="24"/>
              </w:rPr>
              <w:t xml:space="preserve"> изменян</w:t>
            </w:r>
            <w:r w:rsidRPr="009D0B76">
              <w:rPr>
                <w:rFonts w:ascii="Times New Roman" w:eastAsiaTheme="minorHAnsi" w:hAnsi="Times New Roman"/>
                <w:sz w:val="24"/>
                <w:szCs w:val="24"/>
              </w:rPr>
              <w:t>и</w:t>
            </w:r>
            <w:r w:rsidRPr="009D0B76" w:rsidDel="00932679">
              <w:rPr>
                <w:rFonts w:ascii="Times New Roman" w:eastAsiaTheme="minorHAnsi" w:hAnsi="Times New Roman"/>
                <w:sz w:val="24"/>
                <w:szCs w:val="24"/>
              </w:rPr>
              <w:t xml:space="preserve"> при условията на чл. 26, ал. 7 от ЗУСЕСИФ.</w:t>
            </w:r>
          </w:p>
        </w:tc>
      </w:tr>
    </w:tbl>
    <w:p w14:paraId="3F8420A1" w14:textId="77777777" w:rsidR="00FF3732" w:rsidRDefault="00FF3732" w:rsidP="009D0B76">
      <w:pPr>
        <w:spacing w:after="0" w:line="276" w:lineRule="auto"/>
        <w:jc w:val="both"/>
        <w:rPr>
          <w:rFonts w:ascii="Times New Roman" w:eastAsiaTheme="minorHAnsi" w:hAnsi="Times New Roman"/>
          <w:b/>
          <w:sz w:val="24"/>
          <w:szCs w:val="24"/>
        </w:rPr>
      </w:pPr>
    </w:p>
    <w:p w14:paraId="1E27B41E" w14:textId="77777777" w:rsidR="008B4254" w:rsidRDefault="008B4254" w:rsidP="009D0B76">
      <w:pPr>
        <w:spacing w:after="0" w:line="276" w:lineRule="auto"/>
        <w:jc w:val="both"/>
        <w:rPr>
          <w:rFonts w:ascii="Times New Roman" w:eastAsiaTheme="minorHAnsi" w:hAnsi="Times New Roman"/>
          <w:b/>
          <w:color w:val="5B9BD5" w:themeColor="accent1"/>
          <w:sz w:val="24"/>
          <w:szCs w:val="24"/>
        </w:rPr>
      </w:pPr>
    </w:p>
    <w:p w14:paraId="4A492AD8" w14:textId="77777777" w:rsidR="008B4254" w:rsidRDefault="008B4254" w:rsidP="009D0B76">
      <w:pPr>
        <w:spacing w:after="0" w:line="276" w:lineRule="auto"/>
        <w:jc w:val="both"/>
        <w:rPr>
          <w:rFonts w:ascii="Times New Roman" w:eastAsiaTheme="minorHAnsi" w:hAnsi="Times New Roman"/>
          <w:b/>
          <w:color w:val="5B9BD5" w:themeColor="accent1"/>
          <w:sz w:val="24"/>
          <w:szCs w:val="24"/>
        </w:rPr>
      </w:pPr>
    </w:p>
    <w:p w14:paraId="4AE489FE" w14:textId="7435AD60" w:rsidR="0042292D" w:rsidRPr="009D0B76" w:rsidRDefault="0042292D"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color w:val="5B9BD5" w:themeColor="accent1"/>
          <w:sz w:val="24"/>
          <w:szCs w:val="24"/>
        </w:rPr>
        <w:lastRenderedPageBreak/>
        <w:t>24.Списък на документите, които се подават на етап кандидатстване: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42292D" w:rsidRPr="009D0B76" w14:paraId="51F9FEB9" w14:textId="77777777" w:rsidTr="004848AA">
        <w:tc>
          <w:tcPr>
            <w:tcW w:w="10760" w:type="dxa"/>
            <w:shd w:val="clear" w:color="auto" w:fill="auto"/>
          </w:tcPr>
          <w:p w14:paraId="3C8EB662" w14:textId="77777777" w:rsidR="00B1735F" w:rsidRPr="009D0B76" w:rsidRDefault="00B1735F" w:rsidP="009D0B76">
            <w:pPr>
              <w:spacing w:line="240" w:lineRule="auto"/>
              <w:ind w:firstLine="426"/>
              <w:jc w:val="both"/>
              <w:rPr>
                <w:rFonts w:ascii="Times New Roman" w:hAnsi="Times New Roman"/>
                <w:b/>
                <w:sz w:val="24"/>
                <w:szCs w:val="24"/>
                <w:lang w:val="en-US"/>
              </w:rPr>
            </w:pPr>
            <w:r w:rsidRPr="009D0B76">
              <w:rPr>
                <w:rFonts w:ascii="Times New Roman" w:hAnsi="Times New Roman"/>
                <w:b/>
                <w:sz w:val="24"/>
                <w:szCs w:val="24"/>
              </w:rPr>
              <w:t>Списък на документи, които се предоставят заедно с проектното предложение:</w:t>
            </w:r>
          </w:p>
          <w:p w14:paraId="49F790A9" w14:textId="77777777" w:rsidR="00B1735F" w:rsidRPr="009D0B76" w:rsidRDefault="00B1735F" w:rsidP="009D0B76">
            <w:pPr>
              <w:spacing w:line="240" w:lineRule="auto"/>
              <w:ind w:firstLine="426"/>
              <w:jc w:val="both"/>
              <w:rPr>
                <w:rFonts w:ascii="Times New Roman" w:hAnsi="Times New Roman"/>
                <w:b/>
                <w:sz w:val="24"/>
                <w:szCs w:val="24"/>
                <w:lang w:val="en-US"/>
              </w:rPr>
            </w:pPr>
            <w:r w:rsidRPr="009D0B76">
              <w:rPr>
                <w:rFonts w:ascii="Times New Roman" w:hAnsi="Times New Roman"/>
                <w:b/>
                <w:sz w:val="24"/>
                <w:szCs w:val="24"/>
              </w:rPr>
              <w:t>І. Общи документи</w:t>
            </w:r>
            <w:r w:rsidRPr="009D0B76">
              <w:rPr>
                <w:rFonts w:ascii="Times New Roman" w:hAnsi="Times New Roman"/>
                <w:b/>
                <w:sz w:val="24"/>
                <w:szCs w:val="24"/>
                <w:lang w:val="en-US"/>
              </w:rPr>
              <w:t>:</w:t>
            </w:r>
          </w:p>
          <w:p w14:paraId="6E96B2D5" w14:textId="7565BA8A" w:rsidR="00B1735F" w:rsidRPr="009D0B76" w:rsidRDefault="00696A4A" w:rsidP="009D0B76">
            <w:pPr>
              <w:spacing w:line="240" w:lineRule="auto"/>
              <w:ind w:firstLine="426"/>
              <w:jc w:val="both"/>
              <w:rPr>
                <w:rFonts w:ascii="Times New Roman" w:hAnsi="Times New Roman"/>
                <w:sz w:val="24"/>
                <w:szCs w:val="24"/>
              </w:rPr>
            </w:pPr>
            <w:r>
              <w:rPr>
                <w:rFonts w:ascii="Times New Roman" w:hAnsi="Times New Roman"/>
                <w:sz w:val="24"/>
                <w:szCs w:val="24"/>
              </w:rPr>
              <w:t>1</w:t>
            </w:r>
            <w:r w:rsidR="00B1735F" w:rsidRPr="009D0B76">
              <w:rPr>
                <w:rFonts w:ascii="Times New Roman" w:hAnsi="Times New Roman"/>
                <w:sz w:val="24"/>
                <w:szCs w:val="24"/>
              </w:rPr>
              <w:t>.</w:t>
            </w:r>
            <w:r w:rsidR="00B1735F" w:rsidRPr="009D0B76">
              <w:rPr>
                <w:rFonts w:ascii="Times New Roman" w:hAnsi="Times New Roman"/>
                <w:sz w:val="24"/>
                <w:szCs w:val="24"/>
              </w:rPr>
              <w:tab/>
              <w:t xml:space="preserve">Таблица за допустими инвестиции във формат </w:t>
            </w:r>
            <w:r w:rsidR="00B1735F" w:rsidRPr="009D0B76">
              <w:rPr>
                <w:rFonts w:ascii="Times New Roman" w:hAnsi="Times New Roman"/>
                <w:sz w:val="24"/>
                <w:szCs w:val="24"/>
                <w:lang w:val="en-US"/>
              </w:rPr>
              <w:t xml:space="preserve">“pdf”, </w:t>
            </w:r>
            <w:r w:rsidR="00B1735F" w:rsidRPr="009D0B76">
              <w:rPr>
                <w:rFonts w:ascii="Times New Roman" w:hAnsi="Times New Roman"/>
                <w:sz w:val="24"/>
                <w:szCs w:val="24"/>
              </w:rPr>
              <w:t xml:space="preserve">подписан и сканиран от кандидата, както и във формат </w:t>
            </w:r>
            <w:r w:rsidR="00B1735F" w:rsidRPr="009D0B76">
              <w:rPr>
                <w:rFonts w:ascii="Times New Roman" w:hAnsi="Times New Roman"/>
                <w:sz w:val="24"/>
                <w:szCs w:val="24"/>
                <w:lang w:val="en-US"/>
              </w:rPr>
              <w:t>“xls”, “xlsx”</w:t>
            </w:r>
            <w:r w:rsidR="00B1735F" w:rsidRPr="009D0B76">
              <w:rPr>
                <w:rFonts w:ascii="Times New Roman" w:hAnsi="Times New Roman"/>
                <w:sz w:val="24"/>
                <w:szCs w:val="24"/>
              </w:rPr>
              <w:t xml:space="preserve">  – Приложение № 2;</w:t>
            </w:r>
          </w:p>
          <w:p w14:paraId="26578B2B" w14:textId="7F392494" w:rsidR="00B1735F" w:rsidRPr="0045517B" w:rsidRDefault="00696A4A" w:rsidP="009D0B76">
            <w:pPr>
              <w:spacing w:line="240" w:lineRule="auto"/>
              <w:ind w:firstLine="426"/>
              <w:jc w:val="both"/>
              <w:rPr>
                <w:rFonts w:ascii="Times New Roman" w:hAnsi="Times New Roman"/>
                <w:sz w:val="24"/>
                <w:szCs w:val="24"/>
              </w:rPr>
            </w:pPr>
            <w:r>
              <w:rPr>
                <w:rFonts w:ascii="Times New Roman" w:hAnsi="Times New Roman"/>
                <w:sz w:val="24"/>
                <w:szCs w:val="24"/>
              </w:rPr>
              <w:t>2</w:t>
            </w:r>
            <w:r w:rsidR="00B1735F" w:rsidRPr="009D0B76">
              <w:rPr>
                <w:rFonts w:ascii="Times New Roman" w:hAnsi="Times New Roman"/>
                <w:sz w:val="24"/>
                <w:szCs w:val="24"/>
              </w:rPr>
              <w:t>.</w:t>
            </w:r>
            <w:r w:rsidR="00B1735F" w:rsidRPr="002E46AA">
              <w:rPr>
                <w:rFonts w:ascii="Times New Roman" w:hAnsi="Times New Roman"/>
                <w:sz w:val="24"/>
                <w:szCs w:val="24"/>
              </w:rPr>
              <w:tab/>
            </w:r>
            <w:r w:rsidR="002E46AA" w:rsidRPr="0045517B">
              <w:rPr>
                <w:rFonts w:ascii="Times New Roman" w:hAnsi="Times New Roman"/>
                <w:sz w:val="24"/>
                <w:szCs w:val="24"/>
                <w:shd w:val="clear" w:color="auto" w:fill="FFFFFF"/>
              </w:rPr>
              <w:t xml:space="preserve">Декларация съгласие и информираност за обработване на лични данни във формат </w:t>
            </w:r>
            <w:r w:rsidR="002E46AA" w:rsidRPr="0045517B">
              <w:rPr>
                <w:rFonts w:ascii="Times New Roman" w:hAnsi="Times New Roman"/>
                <w:sz w:val="24"/>
                <w:szCs w:val="24"/>
                <w:shd w:val="clear" w:color="auto" w:fill="FFFFFF"/>
                <w:lang w:val="en-US"/>
              </w:rPr>
              <w:t xml:space="preserve">“pdf”, </w:t>
            </w:r>
            <w:r w:rsidR="002E46AA" w:rsidRPr="0045517B">
              <w:rPr>
                <w:rFonts w:ascii="Times New Roman" w:hAnsi="Times New Roman"/>
                <w:sz w:val="24"/>
                <w:szCs w:val="24"/>
                <w:shd w:val="clear" w:color="auto" w:fill="FFFFFF"/>
              </w:rPr>
              <w:t>подписан и сканиран от кандидата</w:t>
            </w:r>
            <w:r w:rsidR="00B1735F" w:rsidRPr="0045517B">
              <w:rPr>
                <w:rFonts w:ascii="Times New Roman" w:hAnsi="Times New Roman"/>
                <w:sz w:val="24"/>
                <w:szCs w:val="24"/>
              </w:rPr>
              <w:t>– Приложение № 3;</w:t>
            </w:r>
          </w:p>
          <w:p w14:paraId="0782B8C8" w14:textId="1D60CCB4" w:rsidR="00B1735F" w:rsidRPr="0045517B" w:rsidRDefault="00696A4A" w:rsidP="009D0B76">
            <w:pPr>
              <w:spacing w:line="240" w:lineRule="auto"/>
              <w:ind w:firstLine="426"/>
              <w:jc w:val="both"/>
              <w:rPr>
                <w:rFonts w:ascii="Times New Roman" w:hAnsi="Times New Roman"/>
                <w:sz w:val="24"/>
                <w:szCs w:val="24"/>
              </w:rPr>
            </w:pPr>
            <w:r>
              <w:rPr>
                <w:rFonts w:ascii="Times New Roman" w:hAnsi="Times New Roman"/>
                <w:sz w:val="24"/>
                <w:szCs w:val="24"/>
              </w:rPr>
              <w:t>3</w:t>
            </w:r>
            <w:r w:rsidR="00B1735F" w:rsidRPr="0045517B">
              <w:rPr>
                <w:rFonts w:ascii="Times New Roman" w:hAnsi="Times New Roman"/>
                <w:sz w:val="24"/>
                <w:szCs w:val="24"/>
                <w:lang w:val="en-US"/>
              </w:rPr>
              <w:t xml:space="preserve">. </w:t>
            </w:r>
            <w:r w:rsidR="00B1735F" w:rsidRPr="0045517B">
              <w:rPr>
                <w:rFonts w:ascii="Times New Roman" w:hAnsi="Times New Roman"/>
                <w:sz w:val="24"/>
                <w:szCs w:val="24"/>
              </w:rPr>
              <w:t>Декларация за нередности с подпис/и, печат и сканирана във формат</w:t>
            </w:r>
            <w:r w:rsidR="00B1735F" w:rsidRPr="0045517B">
              <w:rPr>
                <w:rFonts w:ascii="Times New Roman" w:hAnsi="Times New Roman"/>
                <w:sz w:val="24"/>
                <w:szCs w:val="24"/>
                <w:lang w:val="en-US"/>
              </w:rPr>
              <w:t xml:space="preserve"> “pdf”- </w:t>
            </w:r>
            <w:r w:rsidR="00B1735F" w:rsidRPr="0045517B">
              <w:rPr>
                <w:rFonts w:ascii="Times New Roman" w:hAnsi="Times New Roman"/>
                <w:sz w:val="24"/>
                <w:szCs w:val="24"/>
              </w:rPr>
              <w:t>Приложение № 4;</w:t>
            </w:r>
          </w:p>
          <w:p w14:paraId="3CF7810F" w14:textId="1C422A34" w:rsidR="00B1735F" w:rsidRPr="0045517B" w:rsidRDefault="00696A4A" w:rsidP="009D0B76">
            <w:pPr>
              <w:spacing w:line="240" w:lineRule="auto"/>
              <w:ind w:firstLine="426"/>
              <w:jc w:val="both"/>
              <w:rPr>
                <w:rFonts w:ascii="Times New Roman" w:hAnsi="Times New Roman"/>
                <w:sz w:val="24"/>
                <w:szCs w:val="24"/>
              </w:rPr>
            </w:pPr>
            <w:r>
              <w:rPr>
                <w:rFonts w:ascii="Times New Roman" w:hAnsi="Times New Roman"/>
                <w:sz w:val="24"/>
                <w:szCs w:val="24"/>
              </w:rPr>
              <w:t>4</w:t>
            </w:r>
            <w:r w:rsidR="00B1735F" w:rsidRPr="0045517B">
              <w:rPr>
                <w:rFonts w:ascii="Times New Roman" w:hAnsi="Times New Roman"/>
                <w:sz w:val="24"/>
                <w:szCs w:val="24"/>
              </w:rPr>
              <w:t>. Декларация съгласно чл.25, ал.2 от ЗУСЕСИФ с подпис , печат и сканирана във формат „</w:t>
            </w:r>
            <w:r w:rsidR="00B1735F" w:rsidRPr="0045517B">
              <w:rPr>
                <w:rFonts w:ascii="Times New Roman" w:hAnsi="Times New Roman"/>
                <w:sz w:val="24"/>
                <w:szCs w:val="24"/>
                <w:lang w:val="en-US"/>
              </w:rPr>
              <w:t xml:space="preserve">pdf”- </w:t>
            </w:r>
            <w:r w:rsidR="00B1735F" w:rsidRPr="0045517B">
              <w:rPr>
                <w:rFonts w:ascii="Times New Roman" w:hAnsi="Times New Roman"/>
                <w:sz w:val="24"/>
                <w:szCs w:val="24"/>
              </w:rPr>
              <w:t>Приложение № 5;</w:t>
            </w:r>
          </w:p>
          <w:p w14:paraId="7E1F0353" w14:textId="5F37D9A6" w:rsidR="00B1735F" w:rsidRPr="0045517B" w:rsidRDefault="00696A4A" w:rsidP="006E3043">
            <w:pPr>
              <w:spacing w:line="240" w:lineRule="auto"/>
              <w:ind w:firstLine="426"/>
              <w:jc w:val="both"/>
              <w:rPr>
                <w:rFonts w:ascii="Times New Roman" w:hAnsi="Times New Roman"/>
                <w:sz w:val="24"/>
                <w:szCs w:val="24"/>
                <w:lang w:val="en-US"/>
              </w:rPr>
            </w:pPr>
            <w:r>
              <w:rPr>
                <w:rFonts w:ascii="Times New Roman" w:hAnsi="Times New Roman"/>
                <w:sz w:val="24"/>
                <w:szCs w:val="24"/>
              </w:rPr>
              <w:t>5</w:t>
            </w:r>
            <w:r w:rsidR="001F6880" w:rsidRPr="0045517B">
              <w:rPr>
                <w:rFonts w:ascii="Times New Roman" w:hAnsi="Times New Roman"/>
                <w:sz w:val="24"/>
                <w:szCs w:val="24"/>
              </w:rPr>
              <w:t xml:space="preserve">. </w:t>
            </w:r>
            <w:r w:rsidR="0045517B" w:rsidRPr="0045517B">
              <w:rPr>
                <w:rFonts w:ascii="Times New Roman" w:hAnsi="Times New Roman"/>
                <w:sz w:val="24"/>
                <w:szCs w:val="24"/>
                <w:shd w:val="clear" w:color="auto" w:fill="FFFFFF"/>
              </w:rPr>
              <w:t>Декларация по Приложение 6 от Наредба 22 от всички кандидати в процедурата за подбор, включително: представляващия лицето, съдружници, прокуристи и др. лица с правомощия за вземане на решение или контрол по отношение на кандидата за подпомагане</w:t>
            </w:r>
            <w:r w:rsidR="000A3314">
              <w:rPr>
                <w:rFonts w:ascii="Times New Roman" w:hAnsi="Times New Roman"/>
                <w:sz w:val="24"/>
                <w:szCs w:val="24"/>
                <w:shd w:val="clear" w:color="auto" w:fill="FFFFFF"/>
              </w:rPr>
              <w:t>- Приложение № 6</w:t>
            </w:r>
            <w:r w:rsidR="0045517B" w:rsidRPr="0045517B">
              <w:rPr>
                <w:rFonts w:ascii="Times New Roman" w:hAnsi="Times New Roman"/>
                <w:sz w:val="24"/>
                <w:szCs w:val="24"/>
                <w:shd w:val="clear" w:color="auto" w:fill="FFFFFF"/>
              </w:rPr>
              <w:t xml:space="preserve">; </w:t>
            </w:r>
          </w:p>
          <w:p w14:paraId="06CF700E" w14:textId="7A1D45D2" w:rsidR="000337E0" w:rsidRPr="009D0B76" w:rsidRDefault="00696A4A" w:rsidP="009D0B76">
            <w:pPr>
              <w:spacing w:line="240" w:lineRule="auto"/>
              <w:ind w:firstLine="426"/>
              <w:jc w:val="both"/>
              <w:rPr>
                <w:rFonts w:ascii="Times New Roman" w:hAnsi="Times New Roman"/>
                <w:sz w:val="24"/>
                <w:szCs w:val="24"/>
              </w:rPr>
            </w:pPr>
            <w:r>
              <w:rPr>
                <w:rFonts w:ascii="Times New Roman" w:hAnsi="Times New Roman"/>
                <w:sz w:val="24"/>
                <w:szCs w:val="24"/>
              </w:rPr>
              <w:t>6</w:t>
            </w:r>
            <w:r w:rsidR="00CB6231" w:rsidRPr="009D0B76">
              <w:rPr>
                <w:rFonts w:ascii="Times New Roman" w:hAnsi="Times New Roman"/>
                <w:sz w:val="24"/>
                <w:szCs w:val="24"/>
              </w:rPr>
              <w:t>. Свидетелство за съдимост- представя се от представля</w:t>
            </w:r>
            <w:r w:rsidR="00860D4E">
              <w:rPr>
                <w:rFonts w:ascii="Times New Roman" w:hAnsi="Times New Roman"/>
                <w:sz w:val="24"/>
                <w:szCs w:val="24"/>
              </w:rPr>
              <w:t xml:space="preserve">ващия и </w:t>
            </w:r>
            <w:r w:rsidR="0045517B">
              <w:rPr>
                <w:rFonts w:ascii="Times New Roman" w:hAnsi="Times New Roman"/>
                <w:sz w:val="24"/>
                <w:szCs w:val="24"/>
              </w:rPr>
              <w:t>управляващия кандидата</w:t>
            </w:r>
            <w:r w:rsidR="00860D4E">
              <w:rPr>
                <w:rFonts w:ascii="Times New Roman" w:hAnsi="Times New Roman"/>
                <w:sz w:val="24"/>
                <w:szCs w:val="24"/>
              </w:rPr>
              <w:t>;</w:t>
            </w:r>
          </w:p>
          <w:p w14:paraId="5F0A87F3" w14:textId="0B3A4194" w:rsidR="00CB6231" w:rsidRPr="009D0B76" w:rsidRDefault="00696A4A" w:rsidP="009D0B76">
            <w:pPr>
              <w:spacing w:line="240" w:lineRule="auto"/>
              <w:ind w:firstLine="426"/>
              <w:jc w:val="both"/>
              <w:rPr>
                <w:rFonts w:ascii="Times New Roman" w:hAnsi="Times New Roman"/>
                <w:sz w:val="24"/>
                <w:szCs w:val="24"/>
              </w:rPr>
            </w:pPr>
            <w:r>
              <w:rPr>
                <w:rFonts w:ascii="Times New Roman" w:hAnsi="Times New Roman"/>
                <w:sz w:val="24"/>
                <w:szCs w:val="24"/>
              </w:rPr>
              <w:t>7</w:t>
            </w:r>
            <w:r w:rsidR="00CB6231" w:rsidRPr="009D0B76">
              <w:rPr>
                <w:rFonts w:ascii="Times New Roman" w:hAnsi="Times New Roman"/>
                <w:sz w:val="24"/>
                <w:szCs w:val="24"/>
              </w:rPr>
              <w:t>. Нотариално заверено изрично пълномощно- в случай, че документите не се подават лично от кандидата или запов</w:t>
            </w:r>
            <w:r w:rsidR="00860D4E">
              <w:rPr>
                <w:rFonts w:ascii="Times New Roman" w:hAnsi="Times New Roman"/>
                <w:sz w:val="24"/>
                <w:szCs w:val="24"/>
              </w:rPr>
              <w:t>ед на кмета за кандидати общини;</w:t>
            </w:r>
          </w:p>
          <w:p w14:paraId="320E5E54" w14:textId="7418D6C1" w:rsidR="00B1735F" w:rsidRPr="009D0B76" w:rsidRDefault="00696A4A" w:rsidP="009D0B76">
            <w:pPr>
              <w:spacing w:line="240" w:lineRule="auto"/>
              <w:ind w:firstLine="426"/>
              <w:jc w:val="both"/>
              <w:rPr>
                <w:rFonts w:ascii="Times New Roman" w:hAnsi="Times New Roman"/>
                <w:sz w:val="24"/>
                <w:szCs w:val="24"/>
              </w:rPr>
            </w:pPr>
            <w:r>
              <w:rPr>
                <w:rFonts w:ascii="Times New Roman" w:hAnsi="Times New Roman"/>
                <w:sz w:val="24"/>
                <w:szCs w:val="24"/>
              </w:rPr>
              <w:t>8</w:t>
            </w:r>
            <w:r w:rsidR="00CB6231" w:rsidRPr="009D0B76">
              <w:rPr>
                <w:rFonts w:ascii="Times New Roman" w:hAnsi="Times New Roman"/>
                <w:sz w:val="24"/>
                <w:szCs w:val="24"/>
              </w:rPr>
              <w:t>.</w:t>
            </w:r>
            <w:r w:rsidR="00113617">
              <w:rPr>
                <w:rFonts w:ascii="Times New Roman" w:hAnsi="Times New Roman"/>
                <w:sz w:val="24"/>
                <w:szCs w:val="24"/>
              </w:rPr>
              <w:t xml:space="preserve"> </w:t>
            </w:r>
            <w:r w:rsidR="00B1735F" w:rsidRPr="009D0B76">
              <w:rPr>
                <w:rFonts w:ascii="Times New Roman" w:hAnsi="Times New Roman"/>
                <w:sz w:val="24"/>
                <w:szCs w:val="24"/>
              </w:rPr>
              <w:t>Копие от учредителен акт или устав, когато кандидат/получател е лице, регистрирано по Закона за юридическите лица с нестопанска цел или по Закона за народните читалища;</w:t>
            </w:r>
          </w:p>
          <w:p w14:paraId="6C458951" w14:textId="23F84D77" w:rsidR="00B1735F" w:rsidRPr="009D0B76" w:rsidRDefault="00696A4A" w:rsidP="009D0B76">
            <w:pPr>
              <w:spacing w:line="240" w:lineRule="auto"/>
              <w:ind w:firstLine="426"/>
              <w:jc w:val="both"/>
              <w:rPr>
                <w:rFonts w:ascii="Times New Roman" w:hAnsi="Times New Roman"/>
                <w:sz w:val="24"/>
                <w:szCs w:val="24"/>
              </w:rPr>
            </w:pPr>
            <w:r>
              <w:rPr>
                <w:rFonts w:ascii="Times New Roman" w:hAnsi="Times New Roman"/>
                <w:sz w:val="24"/>
                <w:szCs w:val="24"/>
              </w:rPr>
              <w:t>9</w:t>
            </w:r>
            <w:r w:rsidR="00CB6231" w:rsidRPr="009D0B76">
              <w:rPr>
                <w:rFonts w:ascii="Times New Roman" w:hAnsi="Times New Roman"/>
                <w:sz w:val="24"/>
                <w:szCs w:val="24"/>
              </w:rPr>
              <w:t>.</w:t>
            </w:r>
            <w:r w:rsidR="00412C39">
              <w:rPr>
                <w:rFonts w:ascii="Times New Roman" w:hAnsi="Times New Roman"/>
                <w:sz w:val="24"/>
                <w:szCs w:val="24"/>
              </w:rPr>
              <w:t xml:space="preserve"> </w:t>
            </w:r>
            <w:r w:rsidR="00B1735F" w:rsidRPr="009D0B76">
              <w:rPr>
                <w:rFonts w:ascii="Times New Roman" w:hAnsi="Times New Roman"/>
                <w:sz w:val="24"/>
                <w:szCs w:val="24"/>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w:t>
            </w:r>
            <w:r w:rsidR="00B1735F" w:rsidRPr="009D0B76">
              <w:rPr>
                <w:rFonts w:ascii="Times New Roman" w:hAnsi="Times New Roman"/>
                <w:sz w:val="24"/>
                <w:szCs w:val="24"/>
              </w:rPr>
              <w:lastRenderedPageBreak/>
              <w:t>среда, Закона за биологичното разнообразие и/или Закона за водите (когато е приложимо);</w:t>
            </w:r>
          </w:p>
          <w:p w14:paraId="42B1C93C" w14:textId="7F456E09" w:rsidR="00B1735F" w:rsidRPr="009D0B76" w:rsidRDefault="006E3043" w:rsidP="009D0B76">
            <w:pPr>
              <w:tabs>
                <w:tab w:val="left" w:pos="882"/>
              </w:tabs>
              <w:spacing w:line="240" w:lineRule="auto"/>
              <w:ind w:firstLine="426"/>
              <w:jc w:val="both"/>
              <w:rPr>
                <w:rFonts w:ascii="Times New Roman" w:hAnsi="Times New Roman"/>
                <w:sz w:val="24"/>
                <w:szCs w:val="24"/>
              </w:rPr>
            </w:pPr>
            <w:r>
              <w:rPr>
                <w:rFonts w:ascii="Times New Roman" w:hAnsi="Times New Roman"/>
                <w:sz w:val="24"/>
                <w:szCs w:val="24"/>
              </w:rPr>
              <w:t>1</w:t>
            </w:r>
            <w:r w:rsidR="00696A4A">
              <w:rPr>
                <w:rFonts w:ascii="Times New Roman" w:hAnsi="Times New Roman"/>
                <w:sz w:val="24"/>
                <w:szCs w:val="24"/>
              </w:rPr>
              <w:t>0</w:t>
            </w:r>
            <w:r w:rsidR="00B1735F" w:rsidRPr="009D0B76">
              <w:rPr>
                <w:rFonts w:ascii="Times New Roman" w:hAnsi="Times New Roman"/>
                <w:sz w:val="24"/>
                <w:szCs w:val="24"/>
              </w:rPr>
              <w:t>.</w:t>
            </w:r>
            <w:r w:rsidR="00B1735F" w:rsidRPr="009D0B76">
              <w:rPr>
                <w:rFonts w:ascii="Times New Roman" w:hAnsi="Times New Roman"/>
                <w:sz w:val="24"/>
                <w:szCs w:val="24"/>
              </w:rPr>
              <w:tab/>
              <w:t>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w:t>
            </w:r>
          </w:p>
          <w:p w14:paraId="3981D059" w14:textId="50591CBE" w:rsidR="00B1735F" w:rsidRPr="009D0B76" w:rsidRDefault="006E3043" w:rsidP="009D0B76">
            <w:pPr>
              <w:tabs>
                <w:tab w:val="left" w:pos="882"/>
              </w:tabs>
              <w:spacing w:line="240" w:lineRule="auto"/>
              <w:ind w:firstLine="426"/>
              <w:jc w:val="both"/>
              <w:rPr>
                <w:rFonts w:ascii="Times New Roman" w:hAnsi="Times New Roman"/>
                <w:sz w:val="24"/>
                <w:szCs w:val="24"/>
              </w:rPr>
            </w:pPr>
            <w:r>
              <w:rPr>
                <w:rFonts w:ascii="Times New Roman" w:hAnsi="Times New Roman"/>
                <w:sz w:val="24"/>
                <w:szCs w:val="24"/>
              </w:rPr>
              <w:t>1</w:t>
            </w:r>
            <w:r w:rsidR="00696A4A">
              <w:rPr>
                <w:rFonts w:ascii="Times New Roman" w:hAnsi="Times New Roman"/>
                <w:sz w:val="24"/>
                <w:szCs w:val="24"/>
              </w:rPr>
              <w:t>1</w:t>
            </w:r>
            <w:r w:rsidR="00B1735F" w:rsidRPr="009D0B76">
              <w:rPr>
                <w:rFonts w:ascii="Times New Roman" w:hAnsi="Times New Roman"/>
                <w:sz w:val="24"/>
                <w:szCs w:val="24"/>
              </w:rPr>
              <w:t>.</w:t>
            </w:r>
            <w:r w:rsidR="00B1735F" w:rsidRPr="009D0B76">
              <w:rPr>
                <w:rFonts w:ascii="Times New Roman" w:hAnsi="Times New Roman"/>
                <w:sz w:val="24"/>
                <w:szCs w:val="24"/>
              </w:rPr>
              <w:tab/>
              <w:t>Разрешително за водовземане и/или разрешително за ползване на воден обект в случаите, предвидени в Закона за водите (когато е приложимо);</w:t>
            </w:r>
          </w:p>
          <w:p w14:paraId="4422C019" w14:textId="610DBE4A" w:rsidR="00B1735F" w:rsidRPr="009D0B76" w:rsidRDefault="006E3043" w:rsidP="009D0B76">
            <w:pPr>
              <w:tabs>
                <w:tab w:val="left" w:pos="882"/>
              </w:tabs>
              <w:spacing w:line="240" w:lineRule="auto"/>
              <w:ind w:firstLine="426"/>
              <w:jc w:val="both"/>
              <w:rPr>
                <w:rFonts w:ascii="Times New Roman" w:hAnsi="Times New Roman"/>
                <w:sz w:val="24"/>
                <w:szCs w:val="24"/>
              </w:rPr>
            </w:pPr>
            <w:r>
              <w:rPr>
                <w:rFonts w:ascii="Times New Roman" w:hAnsi="Times New Roman"/>
                <w:sz w:val="24"/>
                <w:szCs w:val="24"/>
              </w:rPr>
              <w:t>1</w:t>
            </w:r>
            <w:r w:rsidR="00696A4A">
              <w:rPr>
                <w:rFonts w:ascii="Times New Roman" w:hAnsi="Times New Roman"/>
                <w:sz w:val="24"/>
                <w:szCs w:val="24"/>
              </w:rPr>
              <w:t>2</w:t>
            </w:r>
            <w:r w:rsidR="00CB6231" w:rsidRPr="009D0B76">
              <w:rPr>
                <w:rFonts w:ascii="Times New Roman" w:hAnsi="Times New Roman"/>
                <w:sz w:val="24"/>
                <w:szCs w:val="24"/>
              </w:rPr>
              <w:t>.</w:t>
            </w:r>
            <w:r w:rsidR="00B1735F" w:rsidRPr="009D0B76">
              <w:rPr>
                <w:rFonts w:ascii="Times New Roman" w:hAnsi="Times New Roman"/>
                <w:sz w:val="24"/>
                <w:szCs w:val="24"/>
              </w:rPr>
              <w:tab/>
              <w:t xml:space="preserve">Анализ за социално-икономическите ползи за развитието на селския район и устойчивостта </w:t>
            </w:r>
            <w:r w:rsidR="00CB6231" w:rsidRPr="009D0B76">
              <w:rPr>
                <w:rFonts w:ascii="Times New Roman" w:hAnsi="Times New Roman"/>
                <w:sz w:val="24"/>
                <w:szCs w:val="24"/>
              </w:rPr>
              <w:t>на инвестицията – Приложение № 7</w:t>
            </w:r>
            <w:r w:rsidR="00B1735F" w:rsidRPr="009D0B76">
              <w:rPr>
                <w:rFonts w:ascii="Times New Roman" w:hAnsi="Times New Roman"/>
                <w:sz w:val="24"/>
                <w:szCs w:val="24"/>
              </w:rPr>
              <w:t>;</w:t>
            </w:r>
          </w:p>
          <w:p w14:paraId="043049CA" w14:textId="1D70B306" w:rsidR="00B1735F" w:rsidRPr="009D0B76" w:rsidRDefault="00CB6231" w:rsidP="009D0B76">
            <w:pPr>
              <w:tabs>
                <w:tab w:val="left" w:pos="882"/>
              </w:tabs>
              <w:spacing w:line="240" w:lineRule="auto"/>
              <w:ind w:firstLine="426"/>
              <w:jc w:val="both"/>
              <w:rPr>
                <w:rFonts w:ascii="Times New Roman" w:hAnsi="Times New Roman"/>
                <w:sz w:val="24"/>
                <w:szCs w:val="24"/>
              </w:rPr>
            </w:pPr>
            <w:r w:rsidRPr="009D0B76">
              <w:rPr>
                <w:rFonts w:ascii="Times New Roman" w:hAnsi="Times New Roman"/>
                <w:sz w:val="24"/>
                <w:szCs w:val="24"/>
              </w:rPr>
              <w:t>1</w:t>
            </w:r>
            <w:r w:rsidR="00696A4A">
              <w:rPr>
                <w:rFonts w:ascii="Times New Roman" w:hAnsi="Times New Roman"/>
                <w:sz w:val="24"/>
                <w:szCs w:val="24"/>
              </w:rPr>
              <w:t>3</w:t>
            </w:r>
            <w:r w:rsidR="00B1735F" w:rsidRPr="009D0B76">
              <w:rPr>
                <w:rFonts w:ascii="Times New Roman" w:hAnsi="Times New Roman"/>
                <w:sz w:val="24"/>
                <w:szCs w:val="24"/>
              </w:rPr>
              <w:t>.</w:t>
            </w:r>
            <w:r w:rsidR="00B1735F" w:rsidRPr="009D0B76">
              <w:rPr>
                <w:rFonts w:ascii="Times New Roman" w:hAnsi="Times New Roman"/>
                <w:sz w:val="24"/>
                <w:szCs w:val="24"/>
              </w:rPr>
              <w:tab/>
              <w:t>Анализ разходи-ползи (ф</w:t>
            </w:r>
            <w:r w:rsidRPr="009D0B76">
              <w:rPr>
                <w:rFonts w:ascii="Times New Roman" w:hAnsi="Times New Roman"/>
                <w:sz w:val="24"/>
                <w:szCs w:val="24"/>
              </w:rPr>
              <w:t>инансов анализ) – Приложение № 8</w:t>
            </w:r>
            <w:r w:rsidR="00B1735F" w:rsidRPr="009D0B76">
              <w:rPr>
                <w:rFonts w:ascii="Times New Roman" w:hAnsi="Times New Roman"/>
                <w:sz w:val="24"/>
                <w:szCs w:val="24"/>
              </w:rPr>
              <w:t>, изготвен по образец, утвърден от изпълнителния директор на ДФЗ, когато е приложимо;</w:t>
            </w:r>
          </w:p>
          <w:p w14:paraId="4B8B8188" w14:textId="573B877B" w:rsidR="00B1735F" w:rsidRPr="009D0B76" w:rsidRDefault="006E3043" w:rsidP="009D0B76">
            <w:pPr>
              <w:tabs>
                <w:tab w:val="left" w:pos="882"/>
              </w:tabs>
              <w:spacing w:line="240" w:lineRule="auto"/>
              <w:ind w:firstLine="426"/>
              <w:jc w:val="both"/>
              <w:rPr>
                <w:rFonts w:ascii="Times New Roman" w:hAnsi="Times New Roman"/>
                <w:sz w:val="24"/>
                <w:szCs w:val="24"/>
              </w:rPr>
            </w:pPr>
            <w:r>
              <w:rPr>
                <w:rFonts w:ascii="Times New Roman" w:hAnsi="Times New Roman"/>
                <w:sz w:val="24"/>
                <w:szCs w:val="24"/>
              </w:rPr>
              <w:t>1</w:t>
            </w:r>
            <w:r w:rsidR="00696A4A">
              <w:rPr>
                <w:rFonts w:ascii="Times New Roman" w:hAnsi="Times New Roman"/>
                <w:sz w:val="24"/>
                <w:szCs w:val="24"/>
              </w:rPr>
              <w:t>4</w:t>
            </w:r>
            <w:r w:rsidR="00B1735F" w:rsidRPr="009D0B76">
              <w:rPr>
                <w:rFonts w:ascii="Times New Roman" w:hAnsi="Times New Roman"/>
                <w:sz w:val="24"/>
                <w:szCs w:val="24"/>
              </w:rPr>
              <w:t>.</w:t>
            </w:r>
            <w:r w:rsidR="00B1735F" w:rsidRPr="009D0B76">
              <w:rPr>
                <w:rFonts w:ascii="Times New Roman" w:hAnsi="Times New Roman"/>
                <w:sz w:val="24"/>
                <w:szCs w:val="24"/>
              </w:rPr>
              <w:tab/>
              <w:t>Справка за дълготрайните активи или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r w:rsidR="00B1735F" w:rsidRPr="009D0B76">
              <w:rPr>
                <w:rFonts w:ascii="Times New Roman" w:hAnsi="Times New Roman"/>
                <w:sz w:val="24"/>
                <w:szCs w:val="24"/>
              </w:rPr>
              <w:cr/>
            </w:r>
          </w:p>
          <w:p w14:paraId="41F50C42" w14:textId="44456576" w:rsidR="00B1735F" w:rsidRPr="009D0B76" w:rsidRDefault="006E3043" w:rsidP="009D0B76">
            <w:pPr>
              <w:tabs>
                <w:tab w:val="left" w:pos="882"/>
              </w:tabs>
              <w:spacing w:line="240" w:lineRule="auto"/>
              <w:ind w:firstLine="426"/>
              <w:jc w:val="both"/>
              <w:rPr>
                <w:rFonts w:ascii="Times New Roman" w:hAnsi="Times New Roman"/>
                <w:sz w:val="24"/>
                <w:szCs w:val="24"/>
              </w:rPr>
            </w:pPr>
            <w:r>
              <w:rPr>
                <w:rFonts w:ascii="Times New Roman" w:hAnsi="Times New Roman"/>
                <w:sz w:val="24"/>
                <w:szCs w:val="24"/>
              </w:rPr>
              <w:t>1</w:t>
            </w:r>
            <w:r w:rsidR="00696A4A">
              <w:rPr>
                <w:rFonts w:ascii="Times New Roman" w:hAnsi="Times New Roman"/>
                <w:sz w:val="24"/>
                <w:szCs w:val="24"/>
              </w:rPr>
              <w:t>5</w:t>
            </w:r>
            <w:r w:rsidR="00B1735F" w:rsidRPr="009D0B76">
              <w:rPr>
                <w:rFonts w:ascii="Times New Roman" w:hAnsi="Times New Roman"/>
                <w:sz w:val="24"/>
                <w:szCs w:val="24"/>
              </w:rPr>
              <w:t>.</w:t>
            </w:r>
            <w:r w:rsidR="00B1735F" w:rsidRPr="009D0B76">
              <w:rPr>
                <w:rFonts w:ascii="Times New Roman" w:hAnsi="Times New Roman"/>
                <w:sz w:val="24"/>
                <w:szCs w:val="24"/>
              </w:rPr>
              <w:tab/>
              <w:t>Решение на компетентния орган на юридическото лице за кандидатстване по ПРСР;</w:t>
            </w:r>
          </w:p>
          <w:p w14:paraId="70E40F3F" w14:textId="30FDA996" w:rsidR="00B1735F" w:rsidRPr="009D0B76" w:rsidRDefault="00CB6231" w:rsidP="009D0B76">
            <w:pPr>
              <w:tabs>
                <w:tab w:val="left" w:pos="882"/>
              </w:tabs>
              <w:spacing w:line="240" w:lineRule="auto"/>
              <w:ind w:firstLine="426"/>
              <w:jc w:val="both"/>
              <w:rPr>
                <w:rFonts w:ascii="Times New Roman" w:hAnsi="Times New Roman"/>
                <w:sz w:val="24"/>
                <w:szCs w:val="24"/>
              </w:rPr>
            </w:pPr>
            <w:r w:rsidRPr="009D0B76">
              <w:rPr>
                <w:rFonts w:ascii="Times New Roman" w:hAnsi="Times New Roman"/>
                <w:sz w:val="24"/>
                <w:szCs w:val="24"/>
              </w:rPr>
              <w:t>1</w:t>
            </w:r>
            <w:r w:rsidR="00696A4A">
              <w:rPr>
                <w:rFonts w:ascii="Times New Roman" w:hAnsi="Times New Roman"/>
                <w:sz w:val="24"/>
                <w:szCs w:val="24"/>
              </w:rPr>
              <w:t>6</w:t>
            </w:r>
            <w:r w:rsidR="00B1735F" w:rsidRPr="009D0B76">
              <w:rPr>
                <w:rFonts w:ascii="Times New Roman" w:hAnsi="Times New Roman"/>
                <w:sz w:val="24"/>
                <w:szCs w:val="24"/>
              </w:rPr>
              <w:t>.</w:t>
            </w:r>
            <w:r w:rsidR="00B1735F" w:rsidRPr="009D0B76">
              <w:rPr>
                <w:rFonts w:ascii="Times New Roman" w:hAnsi="Times New Roman"/>
                <w:sz w:val="24"/>
                <w:szCs w:val="24"/>
              </w:rPr>
              <w:tab/>
              <w:t>Решение на общински съвет, че дейностите по проекта отговарят на приоритетите на общинския план за развитие, в случай на проект с кандидат за подпомагане община;</w:t>
            </w:r>
          </w:p>
          <w:p w14:paraId="7829EAD4" w14:textId="0986A15B" w:rsidR="00B1735F" w:rsidRPr="009D0B76" w:rsidRDefault="002F4321" w:rsidP="009D0B76">
            <w:pPr>
              <w:tabs>
                <w:tab w:val="left" w:pos="882"/>
              </w:tabs>
              <w:spacing w:line="240" w:lineRule="auto"/>
              <w:ind w:firstLine="426"/>
              <w:jc w:val="both"/>
              <w:rPr>
                <w:rFonts w:ascii="Times New Roman" w:hAnsi="Times New Roman"/>
                <w:sz w:val="24"/>
                <w:szCs w:val="24"/>
              </w:rPr>
            </w:pPr>
            <w:r w:rsidRPr="009D0B76">
              <w:rPr>
                <w:rFonts w:ascii="Times New Roman" w:hAnsi="Times New Roman"/>
                <w:sz w:val="24"/>
                <w:szCs w:val="24"/>
              </w:rPr>
              <w:t>1</w:t>
            </w:r>
            <w:r w:rsidR="00696A4A">
              <w:rPr>
                <w:rFonts w:ascii="Times New Roman" w:hAnsi="Times New Roman"/>
                <w:sz w:val="24"/>
                <w:szCs w:val="24"/>
              </w:rPr>
              <w:t>7</w:t>
            </w:r>
            <w:r w:rsidRPr="009D0B76">
              <w:rPr>
                <w:rFonts w:ascii="Times New Roman" w:hAnsi="Times New Roman"/>
                <w:sz w:val="24"/>
                <w:szCs w:val="24"/>
              </w:rPr>
              <w:t>.</w:t>
            </w:r>
            <w:r w:rsidR="00B1735F" w:rsidRPr="009D0B76">
              <w:rPr>
                <w:rFonts w:ascii="Times New Roman" w:hAnsi="Times New Roman"/>
                <w:sz w:val="24"/>
                <w:szCs w:val="24"/>
              </w:rPr>
              <w:tab/>
              <w:t>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ведно с банкови извлечения;</w:t>
            </w:r>
          </w:p>
          <w:p w14:paraId="7B22CC76" w14:textId="5BF695B5" w:rsidR="00B1735F" w:rsidRPr="009D0B76" w:rsidRDefault="006E3043" w:rsidP="009D0B76">
            <w:pPr>
              <w:tabs>
                <w:tab w:val="left" w:pos="882"/>
              </w:tabs>
              <w:spacing w:line="240" w:lineRule="auto"/>
              <w:jc w:val="both"/>
              <w:rPr>
                <w:rFonts w:ascii="Times New Roman" w:hAnsi="Times New Roman"/>
                <w:sz w:val="24"/>
                <w:szCs w:val="24"/>
              </w:rPr>
            </w:pPr>
            <w:r>
              <w:rPr>
                <w:rFonts w:ascii="Times New Roman" w:hAnsi="Times New Roman"/>
                <w:sz w:val="24"/>
                <w:szCs w:val="24"/>
              </w:rPr>
              <w:t>1</w:t>
            </w:r>
            <w:r w:rsidR="00696A4A">
              <w:rPr>
                <w:rFonts w:ascii="Times New Roman" w:hAnsi="Times New Roman"/>
                <w:sz w:val="24"/>
                <w:szCs w:val="24"/>
              </w:rPr>
              <w:t>8</w:t>
            </w:r>
            <w:r w:rsidR="00B1735F" w:rsidRPr="009D0B76">
              <w:rPr>
                <w:rFonts w:ascii="Times New Roman" w:hAnsi="Times New Roman"/>
                <w:sz w:val="24"/>
                <w:szCs w:val="24"/>
              </w:rPr>
              <w:t>. Когато разходът е включен в списъка с активи, дейности и услуги, за които са определени рефер</w:t>
            </w:r>
            <w:r w:rsidR="00B1735F" w:rsidRPr="009D0B76">
              <w:rPr>
                <w:rFonts w:ascii="Times New Roman" w:hAnsi="Times New Roman"/>
                <w:sz w:val="24"/>
                <w:szCs w:val="24"/>
                <w:lang w:val="en-US"/>
              </w:rPr>
              <w:t>e</w:t>
            </w:r>
            <w:r w:rsidR="00B1735F" w:rsidRPr="009D0B76">
              <w:rPr>
                <w:rFonts w:ascii="Times New Roman" w:hAnsi="Times New Roman"/>
                <w:sz w:val="24"/>
                <w:szCs w:val="24"/>
              </w:rPr>
              <w:t xml:space="preserve">нтни разходи към датата на подаване на проектното предложение, кандидатът подава 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w:t>
            </w:r>
            <w:r w:rsidR="00B1735F" w:rsidRPr="009D0B76">
              <w:rPr>
                <w:rFonts w:ascii="Times New Roman" w:hAnsi="Times New Roman"/>
                <w:sz w:val="24"/>
                <w:szCs w:val="24"/>
              </w:rPr>
              <w:lastRenderedPageBreak/>
              <w:t>производителя/доставчика/строителя,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(когато е приложимо). За получаване на оферти мо</w:t>
            </w:r>
            <w:r w:rsidR="002F4321" w:rsidRPr="009D0B76">
              <w:rPr>
                <w:rFonts w:ascii="Times New Roman" w:hAnsi="Times New Roman"/>
                <w:sz w:val="24"/>
                <w:szCs w:val="24"/>
              </w:rPr>
              <w:t>же да се използва Приложение № 9</w:t>
            </w:r>
            <w:r w:rsidR="00B1735F" w:rsidRPr="009D0B76">
              <w:rPr>
                <w:rFonts w:ascii="Times New Roman" w:hAnsi="Times New Roman"/>
                <w:sz w:val="24"/>
                <w:szCs w:val="24"/>
              </w:rPr>
              <w:t xml:space="preserve"> –</w:t>
            </w:r>
            <w:r w:rsidR="00860D4E">
              <w:rPr>
                <w:rFonts w:ascii="Times New Roman" w:hAnsi="Times New Roman"/>
                <w:sz w:val="24"/>
                <w:szCs w:val="24"/>
              </w:rPr>
              <w:t xml:space="preserve"> образец за запитване за оферта;</w:t>
            </w:r>
          </w:p>
          <w:p w14:paraId="010AB80B" w14:textId="55861812" w:rsidR="00B1735F" w:rsidRPr="009D0B76" w:rsidRDefault="00696A4A" w:rsidP="009D0B76">
            <w:pPr>
              <w:tabs>
                <w:tab w:val="left" w:pos="882"/>
              </w:tabs>
              <w:spacing w:line="240" w:lineRule="auto"/>
              <w:ind w:firstLine="426"/>
              <w:jc w:val="both"/>
              <w:rPr>
                <w:rFonts w:ascii="Times New Roman" w:hAnsi="Times New Roman"/>
                <w:sz w:val="24"/>
                <w:szCs w:val="24"/>
              </w:rPr>
            </w:pPr>
            <w:r>
              <w:rPr>
                <w:rFonts w:ascii="Times New Roman" w:hAnsi="Times New Roman"/>
                <w:sz w:val="24"/>
                <w:szCs w:val="24"/>
              </w:rPr>
              <w:t>19</w:t>
            </w:r>
            <w:r w:rsidR="00B1735F" w:rsidRPr="009D0B76">
              <w:rPr>
                <w:rFonts w:ascii="Times New Roman" w:hAnsi="Times New Roman"/>
                <w:sz w:val="24"/>
                <w:szCs w:val="24"/>
              </w:rPr>
              <w:t>. Когато разходът не е включен в списъка с активи, дейности и услуги, за които са определени референтни разходи към датата на подаване на проектното предложение, кандидатът подава: най-малко три съпоставими оферти, които имат следното съдържание – наименование на оферента, валидност на офертата, дата на офертата, подпис и печат на оферента, техническо предложение, ценово предложение в лева с ДДС. За получаване на оферти мо</w:t>
            </w:r>
            <w:r w:rsidR="002F4321" w:rsidRPr="009D0B76">
              <w:rPr>
                <w:rFonts w:ascii="Times New Roman" w:hAnsi="Times New Roman"/>
                <w:sz w:val="24"/>
                <w:szCs w:val="24"/>
              </w:rPr>
              <w:t>же да се използва Приложение № 9</w:t>
            </w:r>
            <w:r w:rsidR="00B1735F" w:rsidRPr="009D0B76">
              <w:rPr>
                <w:rFonts w:ascii="Times New Roman" w:hAnsi="Times New Roman"/>
                <w:sz w:val="24"/>
                <w:szCs w:val="24"/>
              </w:rPr>
              <w:t xml:space="preserve"> –</w:t>
            </w:r>
            <w:r w:rsidR="00860D4E">
              <w:rPr>
                <w:rFonts w:ascii="Times New Roman" w:hAnsi="Times New Roman"/>
                <w:sz w:val="24"/>
                <w:szCs w:val="24"/>
              </w:rPr>
              <w:t xml:space="preserve"> образец за запитване за оферта;</w:t>
            </w:r>
          </w:p>
          <w:p w14:paraId="13432423" w14:textId="5EB41E7C" w:rsidR="00B1735F" w:rsidRPr="009D0B76" w:rsidRDefault="00696A4A" w:rsidP="009D0B76">
            <w:pPr>
              <w:tabs>
                <w:tab w:val="left" w:pos="882"/>
              </w:tabs>
              <w:spacing w:line="240" w:lineRule="auto"/>
              <w:ind w:firstLine="426"/>
              <w:jc w:val="both"/>
              <w:rPr>
                <w:rFonts w:ascii="Times New Roman" w:hAnsi="Times New Roman"/>
                <w:sz w:val="24"/>
                <w:szCs w:val="24"/>
              </w:rPr>
            </w:pPr>
            <w:r>
              <w:rPr>
                <w:rFonts w:ascii="Times New Roman" w:hAnsi="Times New Roman"/>
                <w:sz w:val="24"/>
                <w:szCs w:val="24"/>
              </w:rPr>
              <w:t>20</w:t>
            </w:r>
            <w:r w:rsidR="00B1735F" w:rsidRPr="009D0B76">
              <w:rPr>
                <w:rFonts w:ascii="Times New Roman" w:hAnsi="Times New Roman"/>
                <w:sz w:val="24"/>
                <w:szCs w:val="24"/>
              </w:rPr>
              <w:t>.</w:t>
            </w:r>
            <w:r w:rsidR="00B1735F" w:rsidRPr="009D0B76">
              <w:rPr>
                <w:rFonts w:ascii="Times New Roman" w:hAnsi="Times New Roman"/>
                <w:sz w:val="24"/>
                <w:szCs w:val="24"/>
              </w:rPr>
              <w:tab/>
              <w:t>Документи за проведен избор на изпълнител по Закона за обществените поръчки за кандидати, които са възложители по Закона за обществени</w:t>
            </w:r>
            <w:r w:rsidR="00860D4E">
              <w:rPr>
                <w:rFonts w:ascii="Times New Roman" w:hAnsi="Times New Roman"/>
                <w:sz w:val="24"/>
                <w:szCs w:val="24"/>
              </w:rPr>
              <w:t>те поръчки (когато е приложимо).</w:t>
            </w:r>
          </w:p>
          <w:p w14:paraId="11CE17A7" w14:textId="77777777" w:rsidR="00B1735F" w:rsidRPr="009D0B76" w:rsidRDefault="00B1735F" w:rsidP="009D0B76">
            <w:pPr>
              <w:spacing w:line="240" w:lineRule="auto"/>
              <w:ind w:firstLine="426"/>
              <w:jc w:val="both"/>
              <w:rPr>
                <w:rFonts w:ascii="Times New Roman" w:hAnsi="Times New Roman"/>
                <w:b/>
                <w:sz w:val="24"/>
                <w:szCs w:val="24"/>
                <w:lang w:val="en-US"/>
              </w:rPr>
            </w:pPr>
            <w:r w:rsidRPr="009D0B76">
              <w:rPr>
                <w:rFonts w:ascii="Times New Roman" w:hAnsi="Times New Roman"/>
                <w:b/>
                <w:sz w:val="24"/>
                <w:szCs w:val="24"/>
              </w:rPr>
              <w:t>II. Строително-монтажни работи: строителство, реконструкция, ремонт, рехабилитация</w:t>
            </w:r>
            <w:r w:rsidRPr="009D0B76">
              <w:rPr>
                <w:rFonts w:ascii="Times New Roman" w:hAnsi="Times New Roman"/>
                <w:b/>
                <w:sz w:val="24"/>
                <w:szCs w:val="24"/>
                <w:lang w:val="en-US"/>
              </w:rPr>
              <w:t>:</w:t>
            </w:r>
          </w:p>
          <w:p w14:paraId="2A6E24D8" w14:textId="77777777" w:rsidR="00B1735F" w:rsidRPr="009D0B76" w:rsidRDefault="00B1735F" w:rsidP="009D0B76">
            <w:pPr>
              <w:spacing w:line="240" w:lineRule="auto"/>
              <w:ind w:firstLine="426"/>
              <w:jc w:val="both"/>
              <w:rPr>
                <w:rFonts w:ascii="Times New Roman" w:hAnsi="Times New Roman"/>
                <w:sz w:val="24"/>
                <w:szCs w:val="24"/>
              </w:rPr>
            </w:pPr>
            <w:r w:rsidRPr="009D0B76">
              <w:rPr>
                <w:rFonts w:ascii="Times New Roman" w:hAnsi="Times New Roman"/>
                <w:sz w:val="24"/>
                <w:szCs w:val="24"/>
              </w:rPr>
              <w:t>1.</w:t>
            </w:r>
            <w:r w:rsidRPr="009D0B76">
              <w:rPr>
                <w:rFonts w:ascii="Times New Roman" w:hAnsi="Times New Roman"/>
                <w:sz w:val="24"/>
                <w:szCs w:val="24"/>
              </w:rPr>
              <w:tab/>
              <w:t>Документ за собственост на земя и/или друг вид недвижим имот, обект на инвестицията, или документ за учредено право на строеж върху имота за срок не по-малък от 6 години, считано от датата на подаване на проектното предложение към стратегията за ВОМР (когато е учредено срочно право на строеж) 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случаите на обновяване на сгради и/или помещения, за които не се изисква издаване на разрешение за строеж, съгласно Закона за устройство на територията;</w:t>
            </w:r>
          </w:p>
          <w:p w14:paraId="5E883305" w14:textId="77777777" w:rsidR="00B1735F" w:rsidRPr="009D0B76" w:rsidRDefault="00B1735F" w:rsidP="009D0B76">
            <w:pPr>
              <w:spacing w:line="240" w:lineRule="auto"/>
              <w:ind w:firstLine="426"/>
              <w:jc w:val="both"/>
              <w:rPr>
                <w:rFonts w:ascii="Times New Roman" w:hAnsi="Times New Roman"/>
                <w:sz w:val="24"/>
                <w:szCs w:val="24"/>
              </w:rPr>
            </w:pPr>
            <w:r w:rsidRPr="009D0B76">
              <w:rPr>
                <w:rFonts w:ascii="Times New Roman" w:hAnsi="Times New Roman"/>
                <w:sz w:val="24"/>
                <w:szCs w:val="24"/>
              </w:rPr>
              <w:t>2.</w:t>
            </w:r>
            <w:r w:rsidRPr="009D0B76">
              <w:rPr>
                <w:rFonts w:ascii="Times New Roman" w:hAnsi="Times New Roman"/>
                <w:sz w:val="24"/>
                <w:szCs w:val="24"/>
              </w:rPr>
              <w:tab/>
              <w:t xml:space="preserve">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w:t>
            </w:r>
            <w:r w:rsidRPr="009D0B76">
              <w:rPr>
                <w:rFonts w:ascii="Times New Roman" w:hAnsi="Times New Roman"/>
                <w:sz w:val="24"/>
                <w:szCs w:val="24"/>
              </w:rPr>
              <w:lastRenderedPageBreak/>
              <w:t>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w:t>
            </w:r>
          </w:p>
          <w:p w14:paraId="2A1A2005" w14:textId="77777777" w:rsidR="00B1735F" w:rsidRPr="009D0B76" w:rsidRDefault="00B1735F" w:rsidP="009D0B76">
            <w:pPr>
              <w:spacing w:line="240" w:lineRule="auto"/>
              <w:ind w:firstLine="426"/>
              <w:jc w:val="both"/>
              <w:rPr>
                <w:rFonts w:ascii="Times New Roman" w:hAnsi="Times New Roman"/>
                <w:sz w:val="24"/>
                <w:szCs w:val="24"/>
              </w:rPr>
            </w:pPr>
            <w:r w:rsidRPr="009D0B76">
              <w:rPr>
                <w:rFonts w:ascii="Times New Roman" w:hAnsi="Times New Roman"/>
                <w:sz w:val="24"/>
                <w:szCs w:val="24"/>
              </w:rPr>
              <w:t>3.</w:t>
            </w:r>
            <w:r w:rsidRPr="009D0B76">
              <w:rPr>
                <w:rFonts w:ascii="Times New Roman" w:hAnsi="Times New Roman"/>
                <w:sz w:val="24"/>
                <w:szCs w:val="24"/>
              </w:rPr>
              <w:tab/>
              <w:t>Разрешение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14:paraId="474B2FD7" w14:textId="77777777" w:rsidR="00B1735F" w:rsidRPr="009D0B76" w:rsidRDefault="00B1735F" w:rsidP="009D0B76">
            <w:pPr>
              <w:spacing w:line="240" w:lineRule="auto"/>
              <w:ind w:firstLine="426"/>
              <w:jc w:val="both"/>
              <w:rPr>
                <w:rFonts w:ascii="Times New Roman" w:hAnsi="Times New Roman"/>
                <w:sz w:val="24"/>
                <w:szCs w:val="24"/>
              </w:rPr>
            </w:pPr>
            <w:r w:rsidRPr="009D0B76">
              <w:rPr>
                <w:rFonts w:ascii="Times New Roman" w:hAnsi="Times New Roman"/>
                <w:sz w:val="24"/>
                <w:szCs w:val="24"/>
              </w:rPr>
              <w:t>4.</w:t>
            </w:r>
            <w:r w:rsidRPr="009D0B76">
              <w:rPr>
                <w:rFonts w:ascii="Times New Roman" w:hAnsi="Times New Roman"/>
                <w:sz w:val="24"/>
                <w:szCs w:val="24"/>
              </w:rPr>
              <w:tab/>
              <w:t>Подробни количествени сметки за предвидените строително-монтажни работи, заверени от правоспособно лице;</w:t>
            </w:r>
          </w:p>
          <w:p w14:paraId="2A7724A5" w14:textId="77777777" w:rsidR="00B1735F" w:rsidRPr="009D0B76" w:rsidRDefault="00B1735F" w:rsidP="009D0B76">
            <w:pPr>
              <w:spacing w:line="240" w:lineRule="auto"/>
              <w:ind w:firstLine="426"/>
              <w:jc w:val="both"/>
              <w:rPr>
                <w:rFonts w:ascii="Times New Roman" w:hAnsi="Times New Roman"/>
                <w:sz w:val="24"/>
                <w:szCs w:val="24"/>
              </w:rPr>
            </w:pPr>
            <w:r w:rsidRPr="009D0B76">
              <w:rPr>
                <w:rFonts w:ascii="Times New Roman" w:hAnsi="Times New Roman"/>
                <w:sz w:val="24"/>
                <w:szCs w:val="24"/>
              </w:rPr>
              <w:t>5.</w:t>
            </w:r>
            <w:r w:rsidRPr="009D0B76">
              <w:rPr>
                <w:rFonts w:ascii="Times New Roman" w:hAnsi="Times New Roman"/>
                <w:sz w:val="24"/>
                <w:szCs w:val="24"/>
              </w:rPr>
              <w:tab/>
              <w:t>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(изисква се само за инвестиционни проекти, които включват обекти – недвижими културни ценности);</w:t>
            </w:r>
          </w:p>
          <w:p w14:paraId="37C5AA1B" w14:textId="77777777" w:rsidR="00B1735F" w:rsidRPr="009D0B76" w:rsidRDefault="00B1735F" w:rsidP="009D0B76">
            <w:pPr>
              <w:spacing w:line="240" w:lineRule="auto"/>
              <w:ind w:firstLine="426"/>
              <w:jc w:val="both"/>
              <w:rPr>
                <w:rFonts w:ascii="Times New Roman" w:hAnsi="Times New Roman"/>
                <w:sz w:val="24"/>
                <w:szCs w:val="24"/>
              </w:rPr>
            </w:pPr>
            <w:r w:rsidRPr="009D0B76">
              <w:rPr>
                <w:rFonts w:ascii="Times New Roman" w:hAnsi="Times New Roman"/>
                <w:sz w:val="24"/>
                <w:szCs w:val="24"/>
              </w:rPr>
              <w:t>6.</w:t>
            </w:r>
            <w:r w:rsidRPr="009D0B76">
              <w:rPr>
                <w:rFonts w:ascii="Times New Roman" w:hAnsi="Times New Roman"/>
                <w:sz w:val="24"/>
                <w:szCs w:val="24"/>
              </w:rPr>
              <w:tab/>
              <w:t>Удостоверение от Националния институт за недвижимо културно наследство за статута на обекта като недвижима културна ценност във връзка с т. 5;</w:t>
            </w:r>
          </w:p>
          <w:p w14:paraId="351B9152" w14:textId="77777777" w:rsidR="00B1735F" w:rsidRPr="009D0B76" w:rsidRDefault="00B1735F" w:rsidP="009D0B76">
            <w:pPr>
              <w:spacing w:line="240" w:lineRule="auto"/>
              <w:ind w:firstLine="426"/>
              <w:jc w:val="both"/>
              <w:rPr>
                <w:rFonts w:ascii="Times New Roman" w:hAnsi="Times New Roman"/>
                <w:sz w:val="24"/>
                <w:szCs w:val="24"/>
              </w:rPr>
            </w:pPr>
            <w:r w:rsidRPr="009D0B76">
              <w:rPr>
                <w:rFonts w:ascii="Times New Roman" w:hAnsi="Times New Roman"/>
                <w:sz w:val="24"/>
                <w:szCs w:val="24"/>
              </w:rPr>
              <w:t>7.</w:t>
            </w:r>
            <w:r w:rsidRPr="009D0B76">
              <w:rPr>
                <w:rFonts w:ascii="Times New Roman" w:hAnsi="Times New Roman"/>
                <w:sz w:val="24"/>
                <w:szCs w:val="24"/>
              </w:rPr>
              <w:tab/>
              <w:t>Разрешение за поставяне, издадено в съответствие със Закона за устройство на територията за разходи за преместваеми обекти;</w:t>
            </w:r>
          </w:p>
          <w:p w14:paraId="7DA2C383" w14:textId="77777777" w:rsidR="00B1735F" w:rsidRPr="009D0B76" w:rsidRDefault="00B1735F" w:rsidP="009D0B76">
            <w:pPr>
              <w:spacing w:line="240" w:lineRule="auto"/>
              <w:ind w:firstLine="426"/>
              <w:jc w:val="both"/>
              <w:rPr>
                <w:rFonts w:ascii="Times New Roman" w:hAnsi="Times New Roman"/>
                <w:sz w:val="24"/>
                <w:szCs w:val="24"/>
              </w:rPr>
            </w:pPr>
            <w:r w:rsidRPr="009D0B76">
              <w:rPr>
                <w:rFonts w:ascii="Times New Roman" w:hAnsi="Times New Roman"/>
                <w:sz w:val="24"/>
                <w:szCs w:val="24"/>
              </w:rPr>
              <w:t>8.</w:t>
            </w:r>
            <w:r w:rsidRPr="009D0B76">
              <w:rPr>
                <w:rFonts w:ascii="Times New Roman" w:hAnsi="Times New Roman"/>
                <w:sz w:val="24"/>
                <w:szCs w:val="24"/>
              </w:rPr>
              <w:tab/>
              <w:t>Одобрен технически/технологичен проект, придружен от предпроектно проучване, изготвен и съгласуван от правоспособно лице – за инвестиции за производство на енергия от възобновяеми енергийни източници;</w:t>
            </w:r>
          </w:p>
          <w:p w14:paraId="683378CA" w14:textId="77777777" w:rsidR="00B1735F" w:rsidRPr="009D0B76" w:rsidRDefault="00B1735F" w:rsidP="009D0B76">
            <w:pPr>
              <w:spacing w:line="240" w:lineRule="auto"/>
              <w:ind w:firstLine="426"/>
              <w:jc w:val="both"/>
              <w:rPr>
                <w:rFonts w:ascii="Times New Roman" w:hAnsi="Times New Roman"/>
                <w:sz w:val="24"/>
                <w:szCs w:val="24"/>
              </w:rPr>
            </w:pPr>
            <w:r w:rsidRPr="009D0B76">
              <w:rPr>
                <w:rFonts w:ascii="Times New Roman" w:hAnsi="Times New Roman"/>
                <w:sz w:val="24"/>
                <w:szCs w:val="24"/>
              </w:rPr>
              <w:t>9.</w:t>
            </w:r>
            <w:r w:rsidRPr="009D0B76">
              <w:rPr>
                <w:rFonts w:ascii="Times New Roman" w:hAnsi="Times New Roman"/>
                <w:sz w:val="24"/>
                <w:szCs w:val="24"/>
              </w:rPr>
              <w:tab/>
              <w:t>Удостоверение за ползван патент и/или удостоверение за полезен модел или внедряване на инвестиции, когато е приложимо;</w:t>
            </w:r>
          </w:p>
          <w:p w14:paraId="19ADD57F" w14:textId="77777777" w:rsidR="00B1735F" w:rsidRPr="009D0B76" w:rsidRDefault="00B1735F" w:rsidP="009D0B76">
            <w:pPr>
              <w:tabs>
                <w:tab w:val="left" w:pos="846"/>
              </w:tabs>
              <w:spacing w:line="240" w:lineRule="auto"/>
              <w:ind w:firstLine="426"/>
              <w:jc w:val="both"/>
              <w:rPr>
                <w:rFonts w:ascii="Times New Roman" w:hAnsi="Times New Roman"/>
                <w:sz w:val="24"/>
                <w:szCs w:val="24"/>
                <w:lang w:val="en-US"/>
              </w:rPr>
            </w:pPr>
            <w:r w:rsidRPr="009D0B76">
              <w:rPr>
                <w:rFonts w:ascii="Times New Roman" w:hAnsi="Times New Roman"/>
                <w:sz w:val="24"/>
                <w:szCs w:val="24"/>
              </w:rPr>
              <w:t>10.</w:t>
            </w:r>
            <w:r w:rsidRPr="009D0B76">
              <w:rPr>
                <w:rFonts w:ascii="Times New Roman" w:hAnsi="Times New Roman"/>
                <w:sz w:val="24"/>
                <w:szCs w:val="24"/>
              </w:rPr>
              <w:tab/>
              <w:t>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седем години, считано от датата на сключване на договора за предоставяне на финансовата помощ за съществуващи общински пътища, улици и тротоари и съоръженията и принадлежностите към тях.</w:t>
            </w:r>
          </w:p>
          <w:p w14:paraId="3CE42322" w14:textId="77777777" w:rsidR="00B1735F" w:rsidRPr="009D0B76" w:rsidRDefault="00B1735F" w:rsidP="009D0B76">
            <w:pPr>
              <w:spacing w:line="240" w:lineRule="auto"/>
              <w:ind w:firstLine="426"/>
              <w:jc w:val="both"/>
              <w:rPr>
                <w:rFonts w:ascii="Times New Roman" w:hAnsi="Times New Roman"/>
                <w:sz w:val="24"/>
                <w:szCs w:val="24"/>
              </w:rPr>
            </w:pPr>
            <w:r w:rsidRPr="009D0B76">
              <w:rPr>
                <w:rFonts w:ascii="Times New Roman" w:hAnsi="Times New Roman"/>
                <w:sz w:val="24"/>
                <w:szCs w:val="24"/>
              </w:rPr>
              <w:lastRenderedPageBreak/>
              <w:t xml:space="preserve">Когато даден документ не е приложим, кандидатът прикачва декларация по образец на Държавен фонд „Земеделие“ удостоверяваща това обстоятелство – във формат „pdf“ или </w:t>
            </w:r>
            <w:r w:rsidR="002F4321" w:rsidRPr="009D0B76">
              <w:rPr>
                <w:rFonts w:ascii="Times New Roman" w:hAnsi="Times New Roman"/>
                <w:sz w:val="24"/>
                <w:szCs w:val="24"/>
              </w:rPr>
              <w:t>„jpg“ – Съгласно приложение № 14</w:t>
            </w:r>
            <w:r w:rsidRPr="009D0B76">
              <w:rPr>
                <w:rFonts w:ascii="Times New Roman" w:hAnsi="Times New Roman"/>
                <w:sz w:val="24"/>
                <w:szCs w:val="24"/>
              </w:rPr>
              <w:t>.</w:t>
            </w:r>
          </w:p>
          <w:p w14:paraId="17249975" w14:textId="77777777" w:rsidR="00B1735F" w:rsidRPr="009D0B76" w:rsidRDefault="00B1735F" w:rsidP="009D0B76">
            <w:pPr>
              <w:spacing w:line="240" w:lineRule="auto"/>
              <w:ind w:firstLine="426"/>
              <w:jc w:val="both"/>
              <w:rPr>
                <w:rFonts w:ascii="Times New Roman" w:hAnsi="Times New Roman"/>
                <w:b/>
                <w:sz w:val="24"/>
                <w:szCs w:val="24"/>
              </w:rPr>
            </w:pPr>
            <w:r w:rsidRPr="009D0B76">
              <w:rPr>
                <w:rFonts w:ascii="Times New Roman" w:hAnsi="Times New Roman"/>
                <w:b/>
                <w:sz w:val="24"/>
                <w:szCs w:val="24"/>
                <w:lang w:val="en-US"/>
              </w:rPr>
              <w:t xml:space="preserve">III. </w:t>
            </w:r>
            <w:r w:rsidRPr="009D0B76">
              <w:rPr>
                <w:rFonts w:ascii="Times New Roman" w:hAnsi="Times New Roman"/>
                <w:b/>
                <w:sz w:val="24"/>
                <w:szCs w:val="24"/>
              </w:rPr>
              <w:t>Други документи:</w:t>
            </w:r>
          </w:p>
          <w:p w14:paraId="721FE9A1" w14:textId="77777777" w:rsidR="00B1735F" w:rsidRPr="009D0B76" w:rsidRDefault="00B1735F" w:rsidP="009D0B76">
            <w:pPr>
              <w:spacing w:line="240" w:lineRule="auto"/>
              <w:ind w:firstLine="426"/>
              <w:jc w:val="both"/>
              <w:rPr>
                <w:rFonts w:ascii="Times New Roman" w:hAnsi="Times New Roman"/>
                <w:sz w:val="24"/>
                <w:szCs w:val="24"/>
              </w:rPr>
            </w:pPr>
            <w:r w:rsidRPr="009D0B76">
              <w:rPr>
                <w:rFonts w:ascii="Times New Roman" w:hAnsi="Times New Roman"/>
                <w:sz w:val="24"/>
                <w:szCs w:val="24"/>
              </w:rPr>
              <w:t>1.</w:t>
            </w:r>
            <w:r w:rsidRPr="009D0B76">
              <w:rPr>
                <w:rFonts w:ascii="Times New Roman" w:hAnsi="Times New Roman"/>
                <w:sz w:val="24"/>
                <w:szCs w:val="24"/>
              </w:rPr>
              <w:tab/>
              <w:t xml:space="preserve">Приложение № </w:t>
            </w:r>
            <w:r w:rsidR="002F4321" w:rsidRPr="009D0B76">
              <w:rPr>
                <w:rFonts w:ascii="Times New Roman" w:hAnsi="Times New Roman"/>
                <w:sz w:val="24"/>
                <w:szCs w:val="24"/>
              </w:rPr>
              <w:t>10</w:t>
            </w:r>
            <w:r w:rsidR="00051425">
              <w:rPr>
                <w:rFonts w:ascii="Times New Roman" w:hAnsi="Times New Roman"/>
                <w:sz w:val="24"/>
                <w:szCs w:val="24"/>
              </w:rPr>
              <w:t xml:space="preserve"> Декларация НСИ.</w:t>
            </w:r>
          </w:p>
          <w:p w14:paraId="4D52B44F" w14:textId="77777777" w:rsidR="0033572B" w:rsidRPr="009D0B76" w:rsidRDefault="002F4321" w:rsidP="009D0B76">
            <w:pPr>
              <w:spacing w:line="240" w:lineRule="auto"/>
              <w:ind w:firstLine="426"/>
              <w:jc w:val="both"/>
              <w:rPr>
                <w:rFonts w:ascii="Times New Roman" w:hAnsi="Times New Roman"/>
                <w:sz w:val="24"/>
                <w:szCs w:val="24"/>
                <w:lang w:val="en-US"/>
              </w:rPr>
            </w:pPr>
            <w:r w:rsidRPr="009D0B76">
              <w:rPr>
                <w:rFonts w:ascii="Times New Roman" w:hAnsi="Times New Roman"/>
                <w:sz w:val="24"/>
                <w:szCs w:val="24"/>
              </w:rPr>
              <w:t>2.</w:t>
            </w:r>
            <w:r w:rsidRPr="009D0B76">
              <w:rPr>
                <w:rFonts w:ascii="Times New Roman" w:hAnsi="Times New Roman"/>
                <w:sz w:val="24"/>
                <w:szCs w:val="24"/>
              </w:rPr>
              <w:tab/>
              <w:t>Приложение № 11</w:t>
            </w:r>
            <w:r w:rsidR="00B1735F" w:rsidRPr="009D0B76">
              <w:rPr>
                <w:rFonts w:ascii="Times New Roman" w:hAnsi="Times New Roman"/>
                <w:sz w:val="24"/>
                <w:szCs w:val="24"/>
              </w:rPr>
              <w:t xml:space="preserve"> Декларация за липса на двойно финансиране</w:t>
            </w:r>
            <w:r w:rsidR="00B938CC" w:rsidRPr="009D0B76">
              <w:rPr>
                <w:rFonts w:ascii="Times New Roman" w:hAnsi="Times New Roman"/>
                <w:sz w:val="24"/>
                <w:szCs w:val="24"/>
              </w:rPr>
              <w:t xml:space="preserve"> и изкуствено създадени условия</w:t>
            </w:r>
            <w:r w:rsidR="00B938CC" w:rsidRPr="009D0B76">
              <w:rPr>
                <w:rFonts w:ascii="Times New Roman" w:hAnsi="Times New Roman"/>
                <w:sz w:val="24"/>
                <w:szCs w:val="24"/>
                <w:lang w:val="en-US"/>
              </w:rPr>
              <w:t>.</w:t>
            </w:r>
          </w:p>
          <w:p w14:paraId="78DC070C" w14:textId="77777777" w:rsidR="00D667B6" w:rsidRPr="009D0B76" w:rsidRDefault="00D667B6" w:rsidP="009D0B76">
            <w:pPr>
              <w:spacing w:line="240" w:lineRule="auto"/>
              <w:ind w:firstLine="426"/>
              <w:jc w:val="both"/>
              <w:rPr>
                <w:rFonts w:ascii="Times New Roman" w:hAnsi="Times New Roman"/>
                <w:sz w:val="24"/>
                <w:szCs w:val="24"/>
              </w:rPr>
            </w:pPr>
            <w:r w:rsidRPr="009D0B76">
              <w:rPr>
                <w:rFonts w:ascii="Times New Roman" w:hAnsi="Times New Roman"/>
                <w:sz w:val="24"/>
                <w:szCs w:val="24"/>
              </w:rPr>
              <w:t>3. Приложение № 12 Декларация</w:t>
            </w:r>
            <w:r w:rsidR="00051425">
              <w:rPr>
                <w:rFonts w:ascii="Times New Roman" w:hAnsi="Times New Roman"/>
                <w:sz w:val="24"/>
                <w:szCs w:val="24"/>
              </w:rPr>
              <w:t xml:space="preserve"> за минимални и държавни помощи.</w:t>
            </w:r>
          </w:p>
          <w:p w14:paraId="2C075B16" w14:textId="77777777" w:rsidR="003A66FE" w:rsidRPr="009D0B76" w:rsidRDefault="00D667B6" w:rsidP="009D0B76">
            <w:pPr>
              <w:spacing w:line="240" w:lineRule="auto"/>
              <w:ind w:firstLine="426"/>
              <w:jc w:val="both"/>
              <w:rPr>
                <w:rFonts w:ascii="Times New Roman" w:hAnsi="Times New Roman"/>
                <w:sz w:val="24"/>
                <w:szCs w:val="24"/>
              </w:rPr>
            </w:pPr>
            <w:r w:rsidRPr="009D0B76">
              <w:rPr>
                <w:rFonts w:ascii="Times New Roman" w:hAnsi="Times New Roman"/>
                <w:sz w:val="24"/>
                <w:szCs w:val="24"/>
              </w:rPr>
              <w:t>4. Приложение № 13 Списък с наименованията на активите, дейностите и услугите, за които са определени референтни разходи.</w:t>
            </w:r>
          </w:p>
          <w:p w14:paraId="313E1B0F" w14:textId="77777777" w:rsidR="00FA53BD" w:rsidRDefault="00FA53BD" w:rsidP="009D0B76">
            <w:pPr>
              <w:spacing w:line="240" w:lineRule="auto"/>
              <w:ind w:firstLine="426"/>
              <w:jc w:val="both"/>
              <w:rPr>
                <w:rFonts w:ascii="Times New Roman" w:hAnsi="Times New Roman"/>
                <w:sz w:val="24"/>
                <w:szCs w:val="24"/>
              </w:rPr>
            </w:pPr>
            <w:r w:rsidRPr="009D0B76">
              <w:rPr>
                <w:rFonts w:ascii="Times New Roman" w:hAnsi="Times New Roman"/>
                <w:sz w:val="24"/>
                <w:szCs w:val="24"/>
              </w:rPr>
              <w:t>5.</w:t>
            </w:r>
            <w:r w:rsidR="00D45F24" w:rsidRPr="009D0B76">
              <w:rPr>
                <w:rFonts w:ascii="Times New Roman" w:hAnsi="Times New Roman"/>
                <w:sz w:val="24"/>
                <w:szCs w:val="24"/>
              </w:rPr>
              <w:t xml:space="preserve"> </w:t>
            </w:r>
            <w:r w:rsidRPr="009D0B76">
              <w:rPr>
                <w:rFonts w:ascii="Times New Roman" w:hAnsi="Times New Roman"/>
                <w:sz w:val="24"/>
                <w:szCs w:val="24"/>
              </w:rPr>
              <w:t>Приложение № 15 Формуляр за мониторинг съгласно приложение №13 от Наредба № 22 от 2015 г.</w:t>
            </w:r>
          </w:p>
          <w:p w14:paraId="36A0CD8A" w14:textId="77777777" w:rsidR="0054660C" w:rsidRPr="009D0B76" w:rsidRDefault="0054660C" w:rsidP="009D0B76">
            <w:pPr>
              <w:spacing w:line="240" w:lineRule="auto"/>
              <w:ind w:firstLine="426"/>
              <w:jc w:val="both"/>
              <w:rPr>
                <w:rFonts w:ascii="Times New Roman" w:hAnsi="Times New Roman"/>
                <w:sz w:val="24"/>
                <w:szCs w:val="24"/>
              </w:rPr>
            </w:pPr>
            <w:r>
              <w:rPr>
                <w:rFonts w:ascii="Times New Roman" w:hAnsi="Times New Roman"/>
                <w:sz w:val="24"/>
                <w:szCs w:val="24"/>
              </w:rPr>
              <w:t>6. Приложени</w:t>
            </w:r>
            <w:r w:rsidR="00801F97">
              <w:rPr>
                <w:rFonts w:ascii="Times New Roman" w:hAnsi="Times New Roman"/>
                <w:sz w:val="24"/>
                <w:szCs w:val="24"/>
              </w:rPr>
              <w:t>е № 16 Декларация за свързаност ( за кандидати, които не са публични органи).</w:t>
            </w:r>
          </w:p>
        </w:tc>
      </w:tr>
      <w:tr w:rsidR="006E3043" w:rsidRPr="009D0B76" w14:paraId="705DBCA8" w14:textId="77777777" w:rsidTr="004848AA">
        <w:tc>
          <w:tcPr>
            <w:tcW w:w="10760" w:type="dxa"/>
            <w:shd w:val="clear" w:color="auto" w:fill="auto"/>
          </w:tcPr>
          <w:p w14:paraId="7EADE601" w14:textId="77777777" w:rsidR="006E3043" w:rsidRPr="009D0B76" w:rsidRDefault="006E3043" w:rsidP="009D0B76">
            <w:pPr>
              <w:spacing w:line="240" w:lineRule="auto"/>
              <w:ind w:firstLine="426"/>
              <w:jc w:val="both"/>
              <w:rPr>
                <w:rFonts w:ascii="Times New Roman" w:hAnsi="Times New Roman"/>
                <w:b/>
                <w:sz w:val="24"/>
                <w:szCs w:val="24"/>
              </w:rPr>
            </w:pPr>
          </w:p>
        </w:tc>
      </w:tr>
    </w:tbl>
    <w:p w14:paraId="571B6274" w14:textId="77777777" w:rsidR="0042292D" w:rsidRPr="009D0B76" w:rsidRDefault="0042292D" w:rsidP="009D0B76">
      <w:pPr>
        <w:spacing w:after="0" w:line="276" w:lineRule="auto"/>
        <w:jc w:val="both"/>
        <w:rPr>
          <w:rFonts w:ascii="Times New Roman" w:eastAsiaTheme="minorHAnsi" w:hAnsi="Times New Roman"/>
          <w:b/>
          <w:sz w:val="24"/>
          <w:szCs w:val="24"/>
        </w:rPr>
      </w:pPr>
    </w:p>
    <w:p w14:paraId="509CEBDC" w14:textId="77777777" w:rsidR="004E3CD6" w:rsidRPr="009D0B76" w:rsidRDefault="004E3CD6" w:rsidP="009D0B76">
      <w:pPr>
        <w:spacing w:after="0" w:line="276" w:lineRule="auto"/>
        <w:jc w:val="both"/>
        <w:rPr>
          <w:rFonts w:ascii="Times New Roman" w:eastAsiaTheme="minorHAnsi" w:hAnsi="Times New Roman"/>
          <w:b/>
          <w:color w:val="5B9BD5" w:themeColor="accent1"/>
          <w:sz w:val="24"/>
          <w:szCs w:val="24"/>
        </w:rPr>
      </w:pPr>
      <w:r w:rsidRPr="009D0B76">
        <w:rPr>
          <w:rFonts w:ascii="Times New Roman" w:eastAsiaTheme="minorHAnsi" w:hAnsi="Times New Roman"/>
          <w:b/>
          <w:color w:val="5B9BD5" w:themeColor="accent1"/>
          <w:sz w:val="24"/>
          <w:szCs w:val="24"/>
        </w:rPr>
        <w:t>25.Начален и краен срок за подаване на документите за кандидатстване за подбор на проектни предложения към стратегията за ВОМР за територията на МИГ – Костинброд- Своге</w:t>
      </w:r>
    </w:p>
    <w:p w14:paraId="2F112A18" w14:textId="77777777" w:rsidR="00B1735F" w:rsidRPr="009D0B76" w:rsidRDefault="00B1735F" w:rsidP="009D0B76">
      <w:pPr>
        <w:spacing w:after="0" w:line="276" w:lineRule="auto"/>
        <w:jc w:val="both"/>
        <w:rPr>
          <w:rFonts w:ascii="Times New Roman" w:eastAsiaTheme="minorHAnsi"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2529A9" w:rsidRPr="009D0B76" w14:paraId="5ECCA55C" w14:textId="77777777" w:rsidTr="003E7EE4">
        <w:tc>
          <w:tcPr>
            <w:tcW w:w="10760" w:type="dxa"/>
            <w:shd w:val="clear" w:color="auto" w:fill="auto"/>
          </w:tcPr>
          <w:p w14:paraId="4088A606" w14:textId="395F92F7" w:rsidR="002529A9" w:rsidRPr="009D0B76" w:rsidRDefault="002529A9"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 xml:space="preserve">Начален срок: </w:t>
            </w:r>
            <w:r w:rsidR="00BC3894">
              <w:rPr>
                <w:rFonts w:ascii="Times New Roman" w:eastAsiaTheme="minorHAnsi" w:hAnsi="Times New Roman"/>
                <w:b/>
                <w:sz w:val="24"/>
                <w:szCs w:val="24"/>
              </w:rPr>
              <w:t>01.11.</w:t>
            </w:r>
            <w:r w:rsidR="007C587B">
              <w:rPr>
                <w:rFonts w:ascii="Times New Roman" w:eastAsiaTheme="minorHAnsi" w:hAnsi="Times New Roman"/>
                <w:b/>
                <w:sz w:val="24"/>
                <w:szCs w:val="24"/>
              </w:rPr>
              <w:t>2022</w:t>
            </w:r>
            <w:r w:rsidR="00051425">
              <w:rPr>
                <w:rFonts w:ascii="Times New Roman" w:eastAsiaTheme="minorHAnsi" w:hAnsi="Times New Roman"/>
                <w:b/>
                <w:sz w:val="24"/>
                <w:szCs w:val="24"/>
              </w:rPr>
              <w:t xml:space="preserve"> г.</w:t>
            </w:r>
          </w:p>
          <w:p w14:paraId="5555FCB6" w14:textId="7AAB0BC5" w:rsidR="002529A9" w:rsidRPr="009D0B76" w:rsidRDefault="002529A9" w:rsidP="00051425">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sz w:val="24"/>
                <w:szCs w:val="24"/>
              </w:rPr>
              <w:t xml:space="preserve">Краен срок: </w:t>
            </w:r>
            <w:r w:rsidR="000D7AC1" w:rsidRPr="009D0B76">
              <w:rPr>
                <w:rFonts w:ascii="Times New Roman" w:eastAsiaTheme="minorHAnsi" w:hAnsi="Times New Roman"/>
                <w:b/>
                <w:sz w:val="24"/>
                <w:szCs w:val="24"/>
              </w:rPr>
              <w:t>17.0</w:t>
            </w:r>
            <w:r w:rsidR="0012094A" w:rsidRPr="009D0B76">
              <w:rPr>
                <w:rFonts w:ascii="Times New Roman" w:eastAsiaTheme="minorHAnsi" w:hAnsi="Times New Roman"/>
                <w:b/>
                <w:sz w:val="24"/>
                <w:szCs w:val="24"/>
              </w:rPr>
              <w:t>0</w:t>
            </w:r>
            <w:r w:rsidR="007C587B">
              <w:rPr>
                <w:rFonts w:ascii="Times New Roman" w:eastAsiaTheme="minorHAnsi" w:hAnsi="Times New Roman"/>
                <w:b/>
                <w:sz w:val="24"/>
                <w:szCs w:val="24"/>
              </w:rPr>
              <w:t xml:space="preserve"> часа на </w:t>
            </w:r>
            <w:r w:rsidR="00BC3894">
              <w:rPr>
                <w:rFonts w:ascii="Times New Roman" w:eastAsiaTheme="minorHAnsi" w:hAnsi="Times New Roman"/>
                <w:b/>
                <w:sz w:val="24"/>
                <w:szCs w:val="24"/>
              </w:rPr>
              <w:t>15.12.</w:t>
            </w:r>
            <w:r w:rsidR="007C587B">
              <w:rPr>
                <w:rFonts w:ascii="Times New Roman" w:eastAsiaTheme="minorHAnsi" w:hAnsi="Times New Roman"/>
                <w:b/>
                <w:sz w:val="24"/>
                <w:szCs w:val="24"/>
              </w:rPr>
              <w:t>2022</w:t>
            </w:r>
            <w:r w:rsidR="00051425">
              <w:rPr>
                <w:rFonts w:ascii="Times New Roman" w:eastAsiaTheme="minorHAnsi" w:hAnsi="Times New Roman"/>
                <w:b/>
                <w:sz w:val="24"/>
                <w:szCs w:val="24"/>
              </w:rPr>
              <w:t xml:space="preserve"> г.</w:t>
            </w:r>
          </w:p>
        </w:tc>
      </w:tr>
    </w:tbl>
    <w:p w14:paraId="6BF0B30E" w14:textId="77777777" w:rsidR="002529A9" w:rsidRPr="009D0B76" w:rsidRDefault="002529A9" w:rsidP="009D0B76">
      <w:pPr>
        <w:spacing w:after="0" w:line="276" w:lineRule="auto"/>
        <w:jc w:val="both"/>
        <w:rPr>
          <w:rFonts w:ascii="Times New Roman" w:eastAsiaTheme="minorHAnsi" w:hAnsi="Times New Roman"/>
          <w:b/>
          <w:sz w:val="24"/>
          <w:szCs w:val="24"/>
        </w:rPr>
      </w:pPr>
    </w:p>
    <w:p w14:paraId="0C120ADD" w14:textId="77777777" w:rsidR="002529A9" w:rsidRPr="009D0B76" w:rsidRDefault="002529A9" w:rsidP="009D0B76">
      <w:pPr>
        <w:spacing w:after="0" w:line="276" w:lineRule="auto"/>
        <w:jc w:val="both"/>
        <w:rPr>
          <w:rFonts w:ascii="Times New Roman" w:eastAsiaTheme="minorHAnsi" w:hAnsi="Times New Roman"/>
          <w:b/>
          <w:sz w:val="24"/>
          <w:szCs w:val="24"/>
        </w:rPr>
      </w:pPr>
    </w:p>
    <w:p w14:paraId="2B376D9E" w14:textId="77777777" w:rsidR="004E3CD6" w:rsidRPr="009D0B76" w:rsidRDefault="004E3CD6"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color w:val="5B9BD5" w:themeColor="accent1"/>
          <w:sz w:val="24"/>
          <w:szCs w:val="24"/>
        </w:rPr>
        <w:t xml:space="preserve">26.Адрес за подаване на проектните предложения/ концепциите за проектни предложения: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2529A9" w:rsidRPr="009D0B76" w14:paraId="0FC47CF3" w14:textId="77777777" w:rsidTr="003E7EE4">
        <w:tc>
          <w:tcPr>
            <w:tcW w:w="10760" w:type="dxa"/>
            <w:shd w:val="clear" w:color="auto" w:fill="auto"/>
          </w:tcPr>
          <w:p w14:paraId="08751C1F" w14:textId="77777777" w:rsidR="002529A9" w:rsidRPr="009D0B76" w:rsidRDefault="004A0F97"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 xml:space="preserve">Проектните предложения по настоящата процедура се подават изцяло по електронен път чрез </w:t>
            </w:r>
            <w:r w:rsidR="002529A9" w:rsidRPr="009D0B76">
              <w:rPr>
                <w:rFonts w:ascii="Times New Roman" w:eastAsiaTheme="minorHAnsi" w:hAnsi="Times New Roman"/>
                <w:sz w:val="24"/>
                <w:szCs w:val="24"/>
              </w:rPr>
              <w:t xml:space="preserve">ИСУН </w:t>
            </w:r>
            <w:r w:rsidRPr="009D0B76">
              <w:rPr>
                <w:rFonts w:ascii="Times New Roman" w:eastAsiaTheme="minorHAnsi" w:hAnsi="Times New Roman"/>
                <w:sz w:val="24"/>
                <w:szCs w:val="24"/>
              </w:rPr>
              <w:t xml:space="preserve">2020 на следния интернет адрес: </w:t>
            </w:r>
            <w:r w:rsidR="002529A9" w:rsidRPr="009D0B76">
              <w:rPr>
                <w:rFonts w:ascii="Times New Roman" w:eastAsiaTheme="minorHAnsi" w:hAnsi="Times New Roman"/>
                <w:sz w:val="24"/>
                <w:szCs w:val="24"/>
              </w:rPr>
              <w:t>https://eumis2020.government.bg.</w:t>
            </w:r>
          </w:p>
        </w:tc>
      </w:tr>
    </w:tbl>
    <w:p w14:paraId="7FFA25C7" w14:textId="77777777" w:rsidR="002529A9" w:rsidRPr="009D0B76" w:rsidRDefault="002529A9" w:rsidP="009D0B76">
      <w:pPr>
        <w:spacing w:after="0" w:line="276" w:lineRule="auto"/>
        <w:jc w:val="both"/>
        <w:rPr>
          <w:rFonts w:ascii="Times New Roman" w:eastAsiaTheme="minorHAnsi" w:hAnsi="Times New Roman"/>
          <w:b/>
          <w:sz w:val="24"/>
          <w:szCs w:val="24"/>
        </w:rPr>
      </w:pPr>
    </w:p>
    <w:p w14:paraId="3A8849A4" w14:textId="77777777" w:rsidR="004E3CD6" w:rsidRPr="009D0B76" w:rsidRDefault="004E3CD6" w:rsidP="009D0B76">
      <w:pPr>
        <w:spacing w:after="0" w:line="276" w:lineRule="auto"/>
        <w:jc w:val="both"/>
        <w:rPr>
          <w:rFonts w:ascii="Times New Roman" w:eastAsiaTheme="minorHAnsi" w:hAnsi="Times New Roman"/>
          <w:b/>
          <w:sz w:val="24"/>
          <w:szCs w:val="24"/>
        </w:rPr>
      </w:pPr>
    </w:p>
    <w:p w14:paraId="197DE648" w14:textId="77777777" w:rsidR="004E3CD6" w:rsidRPr="009D0B76" w:rsidRDefault="004E3CD6"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b/>
          <w:color w:val="5B9BD5" w:themeColor="accent1"/>
          <w:sz w:val="24"/>
          <w:szCs w:val="24"/>
        </w:rPr>
        <w:lastRenderedPageBreak/>
        <w:t xml:space="preserve">27.Допълнителна информация: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2529A9" w:rsidRPr="009D0B76" w14:paraId="76ECCED7" w14:textId="77777777" w:rsidTr="006863A0">
        <w:tc>
          <w:tcPr>
            <w:tcW w:w="9322" w:type="dxa"/>
          </w:tcPr>
          <w:p w14:paraId="0DF8197F" w14:textId="77777777" w:rsidR="002529A9" w:rsidRPr="009D0B76" w:rsidRDefault="00350539" w:rsidP="009D0B76">
            <w:pPr>
              <w:spacing w:after="0" w:line="276" w:lineRule="auto"/>
              <w:jc w:val="both"/>
              <w:rPr>
                <w:rFonts w:ascii="Times New Roman" w:eastAsiaTheme="minorHAnsi" w:hAnsi="Times New Roman"/>
                <w:sz w:val="24"/>
                <w:szCs w:val="24"/>
              </w:rPr>
            </w:pPr>
            <w:r w:rsidRPr="009D0B76">
              <w:rPr>
                <w:rFonts w:ascii="Times New Roman" w:eastAsiaTheme="minorHAnsi" w:hAnsi="Times New Roman"/>
                <w:sz w:val="24"/>
                <w:szCs w:val="24"/>
              </w:rPr>
              <w:t>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14:paraId="01F6DF9A" w14:textId="77777777" w:rsidR="002529A9" w:rsidRPr="009D0B76" w:rsidRDefault="002529A9" w:rsidP="009D0B76">
            <w:pPr>
              <w:spacing w:after="0" w:line="276" w:lineRule="auto"/>
              <w:jc w:val="both"/>
              <w:rPr>
                <w:rFonts w:ascii="Times New Roman" w:eastAsiaTheme="minorHAnsi" w:hAnsi="Times New Roman"/>
                <w:b/>
                <w:sz w:val="24"/>
                <w:szCs w:val="24"/>
              </w:rPr>
            </w:pPr>
            <w:r w:rsidRPr="009D0B76">
              <w:rPr>
                <w:rFonts w:ascii="Times New Roman" w:eastAsiaTheme="minorHAnsi" w:hAnsi="Times New Roman"/>
                <w:sz w:val="24"/>
                <w:szCs w:val="24"/>
              </w:rPr>
              <w:t>МИГ – Костинброд- Своге не носи отговорност ако поради грешни и/или непълни данни за кореспонденция, предоставени от самите кандидати, те не получават кореспонденцията с МИГ и/или Разплащателна агенция.</w:t>
            </w:r>
          </w:p>
        </w:tc>
      </w:tr>
    </w:tbl>
    <w:p w14:paraId="75C7FB46" w14:textId="77777777" w:rsidR="002529A9" w:rsidRPr="009D0B76" w:rsidRDefault="002529A9" w:rsidP="009D0B76">
      <w:pPr>
        <w:spacing w:after="0" w:line="276" w:lineRule="auto"/>
        <w:jc w:val="both"/>
        <w:rPr>
          <w:rFonts w:ascii="Times New Roman" w:eastAsiaTheme="minorHAnsi" w:hAnsi="Times New Roman"/>
          <w:b/>
          <w:sz w:val="24"/>
          <w:szCs w:val="24"/>
        </w:rPr>
      </w:pPr>
    </w:p>
    <w:p w14:paraId="13FFB63A" w14:textId="77777777" w:rsidR="002529A9" w:rsidRPr="009D0B76" w:rsidRDefault="002529A9" w:rsidP="009D0B76">
      <w:pPr>
        <w:spacing w:after="0" w:line="276" w:lineRule="auto"/>
        <w:jc w:val="both"/>
        <w:rPr>
          <w:rFonts w:ascii="Times New Roman" w:eastAsiaTheme="minorHAnsi" w:hAnsi="Times New Roman"/>
          <w:b/>
          <w:sz w:val="24"/>
          <w:szCs w:val="24"/>
        </w:rPr>
      </w:pPr>
    </w:p>
    <w:p w14:paraId="53FE840B" w14:textId="77777777" w:rsidR="00FE342B" w:rsidRPr="009D0B76" w:rsidRDefault="00FE342B" w:rsidP="009D0B76">
      <w:pPr>
        <w:spacing w:after="0" w:line="276" w:lineRule="auto"/>
        <w:jc w:val="both"/>
        <w:rPr>
          <w:rFonts w:ascii="Times New Roman" w:eastAsiaTheme="minorHAnsi" w:hAnsi="Times New Roman"/>
          <w:b/>
          <w:sz w:val="24"/>
          <w:szCs w:val="24"/>
        </w:rPr>
      </w:pPr>
    </w:p>
    <w:sectPr w:rsidR="00FE342B" w:rsidRPr="009D0B76" w:rsidSect="00127ECF">
      <w:headerReference w:type="default" r:id="rId9"/>
      <w:footerReference w:type="default" r:id="rId10"/>
      <w:pgSz w:w="11906" w:h="16838"/>
      <w:pgMar w:top="1411" w:right="1411" w:bottom="1411" w:left="1411" w:header="85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DABD" w14:textId="77777777" w:rsidR="00D26D13" w:rsidRDefault="00D26D13" w:rsidP="0005239D">
      <w:pPr>
        <w:spacing w:after="0" w:line="240" w:lineRule="auto"/>
      </w:pPr>
      <w:r>
        <w:separator/>
      </w:r>
    </w:p>
  </w:endnote>
  <w:endnote w:type="continuationSeparator" w:id="0">
    <w:p w14:paraId="5753996D" w14:textId="77777777" w:rsidR="00D26D13" w:rsidRDefault="00D26D13" w:rsidP="0005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CC"/>
    <w:family w:val="auto"/>
    <w:notTrueType/>
    <w:pitch w:val="default"/>
    <w:sig w:usb0="00000203" w:usb1="080E0000" w:usb2="00000010" w:usb3="00000000" w:csb0="00040005"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152899"/>
      <w:docPartObj>
        <w:docPartGallery w:val="Page Numbers (Bottom of Page)"/>
        <w:docPartUnique/>
      </w:docPartObj>
    </w:sdtPr>
    <w:sdtEndPr>
      <w:rPr>
        <w:noProof/>
      </w:rPr>
    </w:sdtEndPr>
    <w:sdtContent>
      <w:p w14:paraId="3A3E4AEF" w14:textId="77777777" w:rsidR="00D26D13" w:rsidRDefault="00D26D13">
        <w:pPr>
          <w:pStyle w:val="Footer"/>
          <w:jc w:val="right"/>
        </w:pPr>
        <w:r>
          <w:fldChar w:fldCharType="begin"/>
        </w:r>
        <w:r>
          <w:instrText xml:space="preserve"> PAGE   \* MERGEFORMAT </w:instrText>
        </w:r>
        <w:r>
          <w:fldChar w:fldCharType="separate"/>
        </w:r>
        <w:r w:rsidR="007C587B">
          <w:rPr>
            <w:noProof/>
          </w:rPr>
          <w:t>39</w:t>
        </w:r>
        <w:r>
          <w:rPr>
            <w:noProof/>
          </w:rPr>
          <w:fldChar w:fldCharType="end"/>
        </w:r>
      </w:p>
    </w:sdtContent>
  </w:sdt>
  <w:p w14:paraId="02CD7D75" w14:textId="77777777" w:rsidR="00D26D13" w:rsidRDefault="00D26D13" w:rsidP="00127ECF">
    <w:pPr>
      <w:tabs>
        <w:tab w:val="center" w:pos="4680"/>
        <w:tab w:val="right" w:pos="9630"/>
      </w:tabs>
      <w:spacing w:after="0" w:line="240" w:lineRule="auto"/>
      <w:ind w:left="-90"/>
      <w:jc w:val="center"/>
      <w:rPr>
        <w:rFonts w:asciiTheme="minorHAnsi" w:eastAsiaTheme="minorHAnsi" w:hAnsiTheme="minorHAnsi" w:cstheme="minorHAnsi"/>
        <w:b/>
        <w:color w:val="767171" w:themeColor="background2" w:themeShade="80"/>
        <w:sz w:val="20"/>
        <w:szCs w:val="20"/>
      </w:rPr>
    </w:pPr>
  </w:p>
  <w:p w14:paraId="2052A1AF" w14:textId="77777777" w:rsidR="00D26D13" w:rsidRPr="00413766" w:rsidRDefault="00D26D13" w:rsidP="00127ECF">
    <w:pPr>
      <w:tabs>
        <w:tab w:val="center" w:pos="4680"/>
        <w:tab w:val="right" w:pos="9630"/>
      </w:tabs>
      <w:spacing w:after="0" w:line="240" w:lineRule="auto"/>
      <w:ind w:left="-90"/>
      <w:jc w:val="center"/>
      <w:rPr>
        <w:rFonts w:asciiTheme="minorHAnsi" w:eastAsiaTheme="minorHAnsi" w:hAnsiTheme="minorHAnsi" w:cstheme="minorHAnsi"/>
        <w:b/>
        <w:color w:val="767171" w:themeColor="background2" w:themeShade="80"/>
        <w:sz w:val="20"/>
        <w:szCs w:val="20"/>
      </w:rPr>
    </w:pPr>
    <w:r w:rsidRPr="00413766">
      <w:rPr>
        <w:rFonts w:asciiTheme="minorHAnsi" w:eastAsiaTheme="minorHAnsi" w:hAnsiTheme="minorHAnsi" w:cstheme="minorHAnsi"/>
        <w:b/>
        <w:color w:val="767171" w:themeColor="background2" w:themeShade="80"/>
        <w:sz w:val="20"/>
        <w:szCs w:val="20"/>
      </w:rPr>
      <w:t>Настоящият документ е изготвен в изпълнение на дейности по Споразумение № РД 50-28/13.04.2018 г.</w:t>
    </w:r>
  </w:p>
  <w:p w14:paraId="1D11888D" w14:textId="77777777" w:rsidR="00D26D13" w:rsidRPr="00413766" w:rsidRDefault="00D26D13" w:rsidP="00127ECF">
    <w:pPr>
      <w:tabs>
        <w:tab w:val="center" w:pos="4680"/>
        <w:tab w:val="right" w:pos="9360"/>
      </w:tabs>
      <w:spacing w:after="0" w:line="240" w:lineRule="auto"/>
      <w:ind w:left="-90"/>
      <w:jc w:val="center"/>
      <w:rPr>
        <w:rFonts w:asciiTheme="minorHAnsi" w:eastAsiaTheme="minorHAnsi" w:hAnsiTheme="minorHAnsi" w:cstheme="minorHAnsi"/>
        <w:b/>
        <w:color w:val="767171" w:themeColor="background2" w:themeShade="80"/>
        <w:sz w:val="20"/>
        <w:szCs w:val="20"/>
      </w:rPr>
    </w:pPr>
    <w:r w:rsidRPr="00413766">
      <w:rPr>
        <w:rFonts w:asciiTheme="minorHAnsi" w:eastAsiaTheme="minorHAnsi" w:hAnsiTheme="minorHAnsi" w:cstheme="minorHAnsi"/>
        <w:b/>
        <w:color w:val="767171" w:themeColor="background2" w:themeShade="80"/>
        <w:sz w:val="20"/>
        <w:szCs w:val="20"/>
      </w:rPr>
      <w:t>за изпълнение на Стратегия за Водено от общностите местно развитие на Сдружение „МИГ Костинброд-Своге”</w:t>
    </w:r>
  </w:p>
  <w:p w14:paraId="44B048C3" w14:textId="77777777" w:rsidR="00D26D13" w:rsidRDefault="00D26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83F1" w14:textId="77777777" w:rsidR="00D26D13" w:rsidRDefault="00D26D13" w:rsidP="0005239D">
      <w:pPr>
        <w:spacing w:after="0" w:line="240" w:lineRule="auto"/>
      </w:pPr>
      <w:r>
        <w:separator/>
      </w:r>
    </w:p>
  </w:footnote>
  <w:footnote w:type="continuationSeparator" w:id="0">
    <w:p w14:paraId="3B7D6C64" w14:textId="77777777" w:rsidR="00D26D13" w:rsidRDefault="00D26D13" w:rsidP="0005239D">
      <w:pPr>
        <w:spacing w:after="0" w:line="240" w:lineRule="auto"/>
      </w:pPr>
      <w:r>
        <w:continuationSeparator/>
      </w:r>
    </w:p>
  </w:footnote>
  <w:footnote w:id="1">
    <w:p w14:paraId="5219F298" w14:textId="77777777" w:rsidR="00D26D13" w:rsidRPr="00775695" w:rsidRDefault="00D26D13" w:rsidP="004F36A5">
      <w:pPr>
        <w:pStyle w:val="FootnoteText"/>
        <w:rPr>
          <w:lang w:val="bg-BG"/>
        </w:rPr>
      </w:pPr>
    </w:p>
  </w:footnote>
  <w:footnote w:id="2">
    <w:p w14:paraId="487C93C0" w14:textId="77777777" w:rsidR="00D26D13" w:rsidRPr="00772CBC" w:rsidRDefault="00D26D13" w:rsidP="004F36A5">
      <w:pPr>
        <w:pStyle w:val="FootnoteText"/>
        <w:rPr>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966F" w14:textId="77777777" w:rsidR="00D26D13" w:rsidRDefault="00D26D13">
    <w:pPr>
      <w:pStyle w:val="Header"/>
      <w:rPr>
        <w:noProof/>
        <w:lang w:eastAsia="bg-BG"/>
      </w:rPr>
    </w:pPr>
  </w:p>
  <w:tbl>
    <w:tblPr>
      <w:tblStyle w:val="TableGrid"/>
      <w:tblpPr w:leftFromText="141" w:rightFromText="141" w:vertAnchor="text" w:horzAnchor="margin" w:tblpXSpec="center" w:tblpY="-374"/>
      <w:tblW w:w="0" w:type="dxa"/>
      <w:tblBorders>
        <w:top w:val="none" w:sz="0" w:space="0" w:color="auto"/>
        <w:left w:val="none" w:sz="0" w:space="0" w:color="auto"/>
        <w:bottom w:val="none" w:sz="0" w:space="0" w:color="auto"/>
        <w:right w:val="none" w:sz="0" w:space="0" w:color="auto"/>
        <w:insideH w:val="single" w:sz="2" w:space="0" w:color="767171" w:themeColor="background2" w:themeShade="80"/>
        <w:insideV w:val="none" w:sz="0" w:space="0" w:color="auto"/>
      </w:tblBorders>
      <w:tblLayout w:type="fixed"/>
      <w:tblLook w:val="04A0" w:firstRow="1" w:lastRow="0" w:firstColumn="1" w:lastColumn="0" w:noHBand="0" w:noVBand="1"/>
    </w:tblPr>
    <w:tblGrid>
      <w:gridCol w:w="1828"/>
      <w:gridCol w:w="1682"/>
      <w:gridCol w:w="236"/>
      <w:gridCol w:w="1923"/>
      <w:gridCol w:w="1737"/>
      <w:gridCol w:w="1800"/>
    </w:tblGrid>
    <w:tr w:rsidR="00D26D13" w14:paraId="6280D6DD" w14:textId="77777777" w:rsidTr="00ED2E8D">
      <w:trPr>
        <w:trHeight w:val="1592"/>
      </w:trPr>
      <w:tc>
        <w:tcPr>
          <w:tcW w:w="1828" w:type="dxa"/>
          <w:tcBorders>
            <w:top w:val="nil"/>
            <w:left w:val="nil"/>
            <w:bottom w:val="double" w:sz="4" w:space="0" w:color="767171" w:themeColor="background2" w:themeShade="80"/>
            <w:right w:val="nil"/>
          </w:tcBorders>
        </w:tcPr>
        <w:p w14:paraId="1060FE96" w14:textId="77777777" w:rsidR="00D26D13" w:rsidRDefault="00D26D13" w:rsidP="00ED2E8D">
          <w:pPr>
            <w:jc w:val="center"/>
            <w:rPr>
              <w:rFonts w:ascii="Times New Roman" w:eastAsiaTheme="minorHAnsi" w:hAnsi="Times New Roman"/>
              <w:b/>
              <w:noProof/>
              <w:sz w:val="24"/>
              <w:szCs w:val="24"/>
              <w:shd w:val="clear" w:color="auto" w:fill="FEFEFE"/>
            </w:rPr>
          </w:pPr>
          <w:r>
            <w:rPr>
              <w:noProof/>
            </w:rPr>
            <w:drawing>
              <wp:anchor distT="0" distB="0" distL="114300" distR="114300" simplePos="0" relativeHeight="251659264" behindDoc="0" locked="0" layoutInCell="1" allowOverlap="1" wp14:anchorId="5B91B3BE" wp14:editId="7FA9543D">
                <wp:simplePos x="0" y="0"/>
                <wp:positionH relativeFrom="column">
                  <wp:posOffset>-17780</wp:posOffset>
                </wp:positionH>
                <wp:positionV relativeFrom="paragraph">
                  <wp:posOffset>16510</wp:posOffset>
                </wp:positionV>
                <wp:extent cx="1076325" cy="932815"/>
                <wp:effectExtent l="0" t="0" r="952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328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b/>
              <w:noProof/>
              <w:sz w:val="24"/>
              <w:szCs w:val="24"/>
              <w:shd w:val="clear" w:color="auto" w:fill="FEFEFE"/>
            </w:rPr>
            <w:t>зз</w:t>
          </w:r>
        </w:p>
        <w:p w14:paraId="7413874C" w14:textId="77777777" w:rsidR="00D26D13" w:rsidRDefault="00D26D13" w:rsidP="00ED2E8D">
          <w:pPr>
            <w:jc w:val="center"/>
            <w:rPr>
              <w:rFonts w:asciiTheme="minorHAnsi" w:eastAsiaTheme="minorHAnsi" w:hAnsiTheme="minorHAnsi" w:cstheme="minorBidi"/>
            </w:rPr>
          </w:pPr>
        </w:p>
        <w:p w14:paraId="2C3A6167" w14:textId="77777777" w:rsidR="00D26D13" w:rsidRDefault="00D26D13" w:rsidP="00ED2E8D">
          <w:pPr>
            <w:jc w:val="center"/>
            <w:rPr>
              <w:rFonts w:asciiTheme="minorHAnsi" w:eastAsiaTheme="minorHAnsi" w:hAnsiTheme="minorHAnsi" w:cstheme="minorBidi"/>
            </w:rPr>
          </w:pPr>
        </w:p>
        <w:p w14:paraId="56B76A62" w14:textId="77777777" w:rsidR="00D26D13" w:rsidRDefault="00D26D13" w:rsidP="00ED2E8D">
          <w:pPr>
            <w:jc w:val="center"/>
            <w:rPr>
              <w:rFonts w:asciiTheme="minorHAnsi" w:eastAsiaTheme="minorHAnsi" w:hAnsiTheme="minorHAnsi" w:cstheme="minorBidi"/>
            </w:rPr>
          </w:pPr>
        </w:p>
        <w:p w14:paraId="557913C2" w14:textId="77777777" w:rsidR="00D26D13" w:rsidRDefault="00D26D13" w:rsidP="00ED2E8D">
          <w:pPr>
            <w:jc w:val="center"/>
            <w:rPr>
              <w:rFonts w:asciiTheme="minorHAnsi" w:eastAsiaTheme="minorHAnsi" w:hAnsiTheme="minorHAnsi" w:cstheme="minorBidi"/>
            </w:rPr>
          </w:pPr>
        </w:p>
      </w:tc>
      <w:tc>
        <w:tcPr>
          <w:tcW w:w="1682" w:type="dxa"/>
          <w:tcBorders>
            <w:top w:val="nil"/>
            <w:left w:val="nil"/>
            <w:bottom w:val="double" w:sz="4" w:space="0" w:color="767171" w:themeColor="background2" w:themeShade="80"/>
            <w:right w:val="nil"/>
          </w:tcBorders>
        </w:tcPr>
        <w:p w14:paraId="20F7D15F" w14:textId="77777777" w:rsidR="00D26D13" w:rsidRDefault="00D26D13" w:rsidP="00ED2E8D">
          <w:pPr>
            <w:jc w:val="center"/>
            <w:rPr>
              <w:rFonts w:asciiTheme="minorHAnsi" w:eastAsiaTheme="minorHAnsi" w:hAnsiTheme="minorHAnsi" w:cstheme="minorBidi"/>
            </w:rPr>
          </w:pPr>
          <w:r>
            <w:rPr>
              <w:noProof/>
            </w:rPr>
            <w:drawing>
              <wp:anchor distT="0" distB="0" distL="114300" distR="114300" simplePos="0" relativeHeight="251660288" behindDoc="0" locked="0" layoutInCell="1" allowOverlap="1" wp14:anchorId="1E11AEA9" wp14:editId="27663EAC">
                <wp:simplePos x="0" y="0"/>
                <wp:positionH relativeFrom="column">
                  <wp:posOffset>37465</wp:posOffset>
                </wp:positionH>
                <wp:positionV relativeFrom="paragraph">
                  <wp:posOffset>10160</wp:posOffset>
                </wp:positionV>
                <wp:extent cx="884555" cy="838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838200"/>
                        </a:xfrm>
                        <a:prstGeom prst="rect">
                          <a:avLst/>
                        </a:prstGeom>
                        <a:noFill/>
                      </pic:spPr>
                    </pic:pic>
                  </a:graphicData>
                </a:graphic>
                <wp14:sizeRelH relativeFrom="page">
                  <wp14:pctWidth>0</wp14:pctWidth>
                </wp14:sizeRelH>
                <wp14:sizeRelV relativeFrom="page">
                  <wp14:pctHeight>0</wp14:pctHeight>
                </wp14:sizeRelV>
              </wp:anchor>
            </w:drawing>
          </w:r>
        </w:p>
        <w:p w14:paraId="5E27DF75" w14:textId="77777777" w:rsidR="00D26D13" w:rsidRDefault="00D26D13" w:rsidP="00ED2E8D">
          <w:pPr>
            <w:rPr>
              <w:rFonts w:asciiTheme="minorHAnsi" w:eastAsiaTheme="minorHAnsi" w:hAnsiTheme="minorHAnsi" w:cstheme="minorBidi"/>
            </w:rPr>
          </w:pPr>
        </w:p>
        <w:p w14:paraId="3AB48351" w14:textId="77777777" w:rsidR="00D26D13" w:rsidRDefault="00D26D13" w:rsidP="00ED2E8D">
          <w:pPr>
            <w:rPr>
              <w:rFonts w:asciiTheme="minorHAnsi" w:eastAsiaTheme="minorHAnsi" w:hAnsiTheme="minorHAnsi" w:cstheme="minorBidi"/>
            </w:rPr>
          </w:pPr>
        </w:p>
        <w:p w14:paraId="3A1E7EE9" w14:textId="77777777" w:rsidR="00D26D13" w:rsidRDefault="00D26D13" w:rsidP="00ED2E8D">
          <w:pPr>
            <w:rPr>
              <w:rFonts w:asciiTheme="minorHAnsi" w:eastAsiaTheme="minorHAnsi" w:hAnsiTheme="minorHAnsi" w:cstheme="minorBidi"/>
            </w:rPr>
          </w:pPr>
        </w:p>
        <w:p w14:paraId="3EF78B3C" w14:textId="77777777" w:rsidR="00D26D13" w:rsidRDefault="00D26D13" w:rsidP="00ED2E8D">
          <w:pPr>
            <w:rPr>
              <w:rFonts w:asciiTheme="minorHAnsi" w:eastAsiaTheme="minorHAnsi" w:hAnsiTheme="minorHAnsi" w:cstheme="minorBidi"/>
            </w:rPr>
          </w:pPr>
          <w:r>
            <w:rPr>
              <w:rFonts w:asciiTheme="minorHAnsi" w:eastAsiaTheme="minorHAnsi" w:hAnsiTheme="minorHAnsi" w:cstheme="minorBidi"/>
            </w:rPr>
            <w:t xml:space="preserve">     </w:t>
          </w:r>
        </w:p>
      </w:tc>
      <w:tc>
        <w:tcPr>
          <w:tcW w:w="236" w:type="dxa"/>
          <w:tcBorders>
            <w:top w:val="nil"/>
            <w:left w:val="nil"/>
            <w:bottom w:val="double" w:sz="4" w:space="0" w:color="767171" w:themeColor="background2" w:themeShade="80"/>
            <w:right w:val="nil"/>
          </w:tcBorders>
        </w:tcPr>
        <w:p w14:paraId="39A5476D" w14:textId="77777777" w:rsidR="00D26D13" w:rsidRDefault="00D26D13" w:rsidP="00ED2E8D">
          <w:pPr>
            <w:jc w:val="center"/>
            <w:rPr>
              <w:rFonts w:asciiTheme="minorHAnsi" w:eastAsiaTheme="minorHAnsi" w:hAnsiTheme="minorHAnsi" w:cstheme="minorBidi"/>
            </w:rPr>
          </w:pPr>
        </w:p>
      </w:tc>
      <w:tc>
        <w:tcPr>
          <w:tcW w:w="1923" w:type="dxa"/>
          <w:tcBorders>
            <w:top w:val="nil"/>
            <w:left w:val="nil"/>
            <w:bottom w:val="double" w:sz="4" w:space="0" w:color="767171" w:themeColor="background2" w:themeShade="80"/>
            <w:right w:val="nil"/>
          </w:tcBorders>
          <w:hideMark/>
        </w:tcPr>
        <w:p w14:paraId="14B1F725" w14:textId="77777777" w:rsidR="00D26D13" w:rsidRDefault="00D26D13" w:rsidP="00ED2E8D">
          <w:pPr>
            <w:ind w:left="-236" w:firstLine="90"/>
            <w:jc w:val="center"/>
            <w:rPr>
              <w:rFonts w:asciiTheme="minorHAnsi" w:eastAsiaTheme="minorHAnsi" w:hAnsiTheme="minorHAnsi" w:cstheme="minorBidi"/>
            </w:rPr>
          </w:pPr>
          <w:r>
            <w:rPr>
              <w:rFonts w:asciiTheme="minorHAnsi" w:eastAsiaTheme="minorHAnsi" w:hAnsiTheme="minorHAnsi" w:cstheme="minorBidi"/>
              <w:noProof/>
            </w:rPr>
            <w:drawing>
              <wp:inline distT="0" distB="0" distL="0" distR="0" wp14:anchorId="187F0595" wp14:editId="5C05E857">
                <wp:extent cx="942975" cy="962025"/>
                <wp:effectExtent l="0" t="0" r="9525" b="9525"/>
                <wp:docPr id="2" name="Picture 2"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ogo-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tc>
      <w:tc>
        <w:tcPr>
          <w:tcW w:w="1737" w:type="dxa"/>
          <w:tcBorders>
            <w:top w:val="nil"/>
            <w:left w:val="nil"/>
            <w:bottom w:val="double" w:sz="4" w:space="0" w:color="767171" w:themeColor="background2" w:themeShade="80"/>
            <w:right w:val="nil"/>
          </w:tcBorders>
          <w:vAlign w:val="center"/>
          <w:hideMark/>
        </w:tcPr>
        <w:p w14:paraId="0A62F20E" w14:textId="77777777" w:rsidR="00D26D13" w:rsidRDefault="00D26D13" w:rsidP="00ED2E8D">
          <w:pPr>
            <w:jc w:val="center"/>
            <w:rPr>
              <w:rFonts w:asciiTheme="minorHAnsi" w:eastAsiaTheme="minorHAnsi" w:hAnsiTheme="minorHAnsi" w:cstheme="minorBidi"/>
            </w:rPr>
          </w:pPr>
          <w:r>
            <w:rPr>
              <w:noProof/>
            </w:rPr>
            <w:drawing>
              <wp:anchor distT="0" distB="0" distL="114300" distR="114300" simplePos="0" relativeHeight="251661312" behindDoc="0" locked="0" layoutInCell="1" allowOverlap="1" wp14:anchorId="69AF28D2" wp14:editId="7FBDEA9C">
                <wp:simplePos x="0" y="0"/>
                <wp:positionH relativeFrom="column">
                  <wp:posOffset>-43815</wp:posOffset>
                </wp:positionH>
                <wp:positionV relativeFrom="paragraph">
                  <wp:posOffset>-209550</wp:posOffset>
                </wp:positionV>
                <wp:extent cx="1057275" cy="771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1800" w:type="dxa"/>
          <w:tcBorders>
            <w:top w:val="nil"/>
            <w:left w:val="nil"/>
            <w:bottom w:val="double" w:sz="4" w:space="0" w:color="767171" w:themeColor="background2" w:themeShade="80"/>
            <w:right w:val="nil"/>
          </w:tcBorders>
          <w:hideMark/>
        </w:tcPr>
        <w:p w14:paraId="10ECABA0" w14:textId="77777777" w:rsidR="00D26D13" w:rsidRDefault="00D26D13" w:rsidP="00ED2E8D">
          <w:pPr>
            <w:rPr>
              <w:rFonts w:asciiTheme="minorHAnsi" w:eastAsiaTheme="minorHAnsi" w:hAnsiTheme="minorHAnsi" w:cstheme="minorBidi"/>
            </w:rPr>
          </w:pPr>
          <w:r>
            <w:rPr>
              <w:noProof/>
            </w:rPr>
            <w:drawing>
              <wp:anchor distT="0" distB="0" distL="114300" distR="114300" simplePos="0" relativeHeight="251662336" behindDoc="0" locked="0" layoutInCell="1" allowOverlap="1" wp14:anchorId="33DE5936" wp14:editId="74112DE0">
                <wp:simplePos x="0" y="0"/>
                <wp:positionH relativeFrom="column">
                  <wp:posOffset>-6985</wp:posOffset>
                </wp:positionH>
                <wp:positionV relativeFrom="paragraph">
                  <wp:posOffset>10160</wp:posOffset>
                </wp:positionV>
                <wp:extent cx="1009650"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pic:spPr>
                    </pic:pic>
                  </a:graphicData>
                </a:graphic>
                <wp14:sizeRelH relativeFrom="page">
                  <wp14:pctWidth>0</wp14:pctWidth>
                </wp14:sizeRelH>
                <wp14:sizeRelV relativeFrom="page">
                  <wp14:pctHeight>0</wp14:pctHeight>
                </wp14:sizeRelV>
              </wp:anchor>
            </w:drawing>
          </w:r>
        </w:p>
      </w:tc>
    </w:tr>
    <w:tr w:rsidR="00D26D13" w14:paraId="41076DCD" w14:textId="77777777" w:rsidTr="00ED2E8D">
      <w:trPr>
        <w:trHeight w:val="638"/>
      </w:trPr>
      <w:tc>
        <w:tcPr>
          <w:tcW w:w="9206" w:type="dxa"/>
          <w:gridSpan w:val="6"/>
          <w:tcBorders>
            <w:top w:val="double" w:sz="4" w:space="0" w:color="767171" w:themeColor="background2" w:themeShade="80"/>
            <w:left w:val="nil"/>
            <w:bottom w:val="nil"/>
            <w:right w:val="nil"/>
          </w:tcBorders>
        </w:tcPr>
        <w:p w14:paraId="03BFCFE7" w14:textId="77777777" w:rsidR="00D26D13" w:rsidRPr="00ED2E8D" w:rsidRDefault="00D26D13" w:rsidP="00ED2E8D">
          <w:pPr>
            <w:jc w:val="center"/>
            <w:rPr>
              <w:rFonts w:asciiTheme="minorHAnsi" w:eastAsiaTheme="minorHAnsi" w:hAnsiTheme="minorHAnsi" w:cstheme="minorBidi"/>
              <w:b/>
              <w:color w:val="767171" w:themeColor="background2" w:themeShade="80"/>
              <w:lang w:val="bg-BG"/>
            </w:rPr>
          </w:pPr>
          <w:r w:rsidRPr="00ED2E8D">
            <w:rPr>
              <w:rFonts w:asciiTheme="minorHAnsi" w:eastAsiaTheme="minorHAnsi" w:hAnsiTheme="minorHAnsi" w:cstheme="minorBidi"/>
              <w:b/>
              <w:color w:val="767171" w:themeColor="background2" w:themeShade="80"/>
              <w:lang w:val="bg-BG"/>
            </w:rPr>
            <w:t>ЕВРОПА ИНВЕСТИРА В СЕЛСКИТЕ РАЙОНИ</w:t>
          </w:r>
        </w:p>
        <w:p w14:paraId="70978ECE" w14:textId="77777777" w:rsidR="00D26D13" w:rsidRPr="00ED2E8D" w:rsidRDefault="00D26D13" w:rsidP="00ED2E8D">
          <w:pPr>
            <w:tabs>
              <w:tab w:val="center" w:pos="4495"/>
              <w:tab w:val="left" w:pos="7965"/>
            </w:tabs>
            <w:rPr>
              <w:rFonts w:asciiTheme="minorHAnsi" w:eastAsiaTheme="minorHAnsi" w:hAnsiTheme="minorHAnsi" w:cstheme="minorBidi"/>
              <w:b/>
              <w:color w:val="767171" w:themeColor="background2" w:themeShade="80"/>
              <w:lang w:val="bg-BG"/>
            </w:rPr>
          </w:pPr>
          <w:r w:rsidRPr="00ED2E8D">
            <w:rPr>
              <w:rFonts w:asciiTheme="minorHAnsi" w:eastAsiaTheme="minorHAnsi" w:hAnsiTheme="minorHAnsi" w:cstheme="minorBidi"/>
              <w:b/>
              <w:color w:val="767171" w:themeColor="background2" w:themeShade="80"/>
              <w:lang w:val="bg-BG"/>
            </w:rPr>
            <w:tab/>
            <w:t>Европейски земеделски фонд за развитие на селските райони</w:t>
          </w:r>
          <w:r w:rsidRPr="00ED2E8D">
            <w:rPr>
              <w:rFonts w:asciiTheme="minorHAnsi" w:eastAsiaTheme="minorHAnsi" w:hAnsiTheme="minorHAnsi" w:cstheme="minorBidi"/>
              <w:b/>
              <w:color w:val="767171" w:themeColor="background2" w:themeShade="80"/>
              <w:lang w:val="bg-BG"/>
            </w:rPr>
            <w:tab/>
          </w:r>
        </w:p>
        <w:p w14:paraId="014E7664" w14:textId="77777777" w:rsidR="00D26D13" w:rsidRPr="00ED2E8D" w:rsidRDefault="00D26D13" w:rsidP="00ED2E8D">
          <w:pPr>
            <w:jc w:val="center"/>
            <w:rPr>
              <w:rFonts w:asciiTheme="minorHAnsi" w:eastAsiaTheme="minorHAnsi" w:hAnsiTheme="minorHAnsi" w:cstheme="minorBidi"/>
              <w:b/>
              <w:color w:val="767171" w:themeColor="background2" w:themeShade="80"/>
              <w:lang w:val="bg-BG"/>
            </w:rPr>
          </w:pPr>
          <w:r w:rsidRPr="00ED2E8D">
            <w:rPr>
              <w:rFonts w:asciiTheme="minorHAnsi" w:eastAsiaTheme="minorHAnsi" w:hAnsiTheme="minorHAnsi" w:cstheme="minorBidi"/>
              <w:b/>
              <w:color w:val="767171" w:themeColor="background2" w:themeShade="80"/>
              <w:lang w:val="bg-BG"/>
            </w:rPr>
            <w:t>Програма за развитие на селските райони 2014 – 2020 г.</w:t>
          </w:r>
        </w:p>
        <w:p w14:paraId="3A20900D" w14:textId="77777777" w:rsidR="00D26D13" w:rsidRPr="00ED2E8D" w:rsidRDefault="00D26D13" w:rsidP="00ED2E8D">
          <w:pPr>
            <w:jc w:val="center"/>
            <w:rPr>
              <w:rFonts w:asciiTheme="minorHAnsi" w:eastAsiaTheme="minorHAnsi" w:hAnsiTheme="minorHAnsi" w:cstheme="minorBidi"/>
              <w:b/>
              <w:color w:val="767171" w:themeColor="background2" w:themeShade="80"/>
              <w:lang w:val="bg-BG"/>
            </w:rPr>
          </w:pPr>
          <w:r w:rsidRPr="00ED2E8D">
            <w:rPr>
              <w:rFonts w:asciiTheme="minorHAnsi" w:eastAsiaTheme="minorHAnsi" w:hAnsiTheme="minorHAnsi" w:cstheme="minorBidi"/>
              <w:b/>
              <w:color w:val="767171" w:themeColor="background2" w:themeShade="80"/>
              <w:lang w:val="bg-BG"/>
            </w:rPr>
            <w:t>Сдружение с нестопанска цел „Местна инициативна група Костинброд-Своге”</w:t>
          </w:r>
        </w:p>
        <w:p w14:paraId="0E4325A2" w14:textId="77777777" w:rsidR="00D26D13" w:rsidRDefault="00D26D13" w:rsidP="00ED2E8D">
          <w:pPr>
            <w:rPr>
              <w:rFonts w:asciiTheme="minorHAnsi" w:eastAsiaTheme="minorHAnsi" w:hAnsiTheme="minorHAnsi" w:cstheme="minorBidi"/>
              <w:b/>
            </w:rPr>
          </w:pPr>
        </w:p>
      </w:tc>
    </w:tr>
  </w:tbl>
  <w:p w14:paraId="550C22EB" w14:textId="77777777" w:rsidR="00D26D13" w:rsidRDefault="00D26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09F"/>
    <w:multiLevelType w:val="hybridMultilevel"/>
    <w:tmpl w:val="DFF8EA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E51617"/>
    <w:multiLevelType w:val="hybridMultilevel"/>
    <w:tmpl w:val="87A4091E"/>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15:restartNumberingAfterBreak="0">
    <w:nsid w:val="0C0D78C0"/>
    <w:multiLevelType w:val="multilevel"/>
    <w:tmpl w:val="55D2C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31710F"/>
    <w:multiLevelType w:val="hybridMultilevel"/>
    <w:tmpl w:val="26980FF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1CC43248"/>
    <w:multiLevelType w:val="hybridMultilevel"/>
    <w:tmpl w:val="83DE8420"/>
    <w:lvl w:ilvl="0" w:tplc="FEE669B8">
      <w:start w:val="3"/>
      <w:numFmt w:val="bullet"/>
      <w:lvlText w:val="-"/>
      <w:lvlJc w:val="left"/>
      <w:pPr>
        <w:ind w:left="1429" w:hanging="360"/>
      </w:pPr>
      <w:rPr>
        <w:rFonts w:ascii="TimesNewRomanPSMT" w:eastAsia="Times New Roman" w:hAnsi="TimesNewRomanPSMT" w:cs="TimesNewRomanPSMT"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258B09A7"/>
    <w:multiLevelType w:val="hybridMultilevel"/>
    <w:tmpl w:val="848C5C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9B823E9"/>
    <w:multiLevelType w:val="hybridMultilevel"/>
    <w:tmpl w:val="6A0A8AEC"/>
    <w:lvl w:ilvl="0" w:tplc="7C7627DC">
      <w:numFmt w:val="bullet"/>
      <w:lvlText w:val="-"/>
      <w:lvlJc w:val="left"/>
      <w:pPr>
        <w:ind w:left="708" w:hanging="360"/>
      </w:pPr>
      <w:rPr>
        <w:rFonts w:ascii="Times New Roman" w:eastAsia="Times New Roman" w:hAnsi="Times New Roman" w:cs="Times New Roman" w:hint="default"/>
      </w:rPr>
    </w:lvl>
    <w:lvl w:ilvl="1" w:tplc="09BCD3B0">
      <w:numFmt w:val="bullet"/>
      <w:lvlText w:val="•"/>
      <w:lvlJc w:val="left"/>
      <w:pPr>
        <w:ind w:left="1788" w:hanging="720"/>
      </w:pPr>
      <w:rPr>
        <w:rFonts w:ascii="Times New Roman" w:eastAsia="Times New Roman" w:hAnsi="Times New Roman" w:cs="Times New Roman"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7" w15:restartNumberingAfterBreak="0">
    <w:nsid w:val="2BB20DF2"/>
    <w:multiLevelType w:val="hybridMultilevel"/>
    <w:tmpl w:val="9B3CDB02"/>
    <w:lvl w:ilvl="0" w:tplc="0402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E4126CA"/>
    <w:multiLevelType w:val="hybridMultilevel"/>
    <w:tmpl w:val="38A80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8578A"/>
    <w:multiLevelType w:val="hybridMultilevel"/>
    <w:tmpl w:val="2FB46FD6"/>
    <w:lvl w:ilvl="0" w:tplc="6E169D6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0" w15:restartNumberingAfterBreak="0">
    <w:nsid w:val="316F3946"/>
    <w:multiLevelType w:val="hybridMultilevel"/>
    <w:tmpl w:val="D728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D1C8E"/>
    <w:multiLevelType w:val="hybridMultilevel"/>
    <w:tmpl w:val="4B881F08"/>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37A7BD9"/>
    <w:multiLevelType w:val="hybridMultilevel"/>
    <w:tmpl w:val="8A382DA0"/>
    <w:lvl w:ilvl="0" w:tplc="262A7C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4107B7C"/>
    <w:multiLevelType w:val="hybridMultilevel"/>
    <w:tmpl w:val="177440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60923B1"/>
    <w:multiLevelType w:val="hybridMultilevel"/>
    <w:tmpl w:val="E766B7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C1641"/>
    <w:multiLevelType w:val="hybridMultilevel"/>
    <w:tmpl w:val="AA54E282"/>
    <w:lvl w:ilvl="0" w:tplc="B2E22C88">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8997DA7"/>
    <w:multiLevelType w:val="hybridMultilevel"/>
    <w:tmpl w:val="E61EA3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C985223"/>
    <w:multiLevelType w:val="hybridMultilevel"/>
    <w:tmpl w:val="00F07672"/>
    <w:lvl w:ilvl="0" w:tplc="0402000F">
      <w:start w:val="2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5FE5A33"/>
    <w:multiLevelType w:val="hybridMultilevel"/>
    <w:tmpl w:val="67B64358"/>
    <w:lvl w:ilvl="0" w:tplc="B7ACE422">
      <w:start w:val="1"/>
      <w:numFmt w:val="decimal"/>
      <w:lvlText w:val="%1."/>
      <w:lvlJc w:val="left"/>
      <w:pPr>
        <w:ind w:left="2345" w:hanging="360"/>
      </w:pPr>
      <w:rPr>
        <w:rFonts w:hint="default"/>
      </w:rPr>
    </w:lvl>
    <w:lvl w:ilvl="1" w:tplc="04020019" w:tentative="1">
      <w:start w:val="1"/>
      <w:numFmt w:val="lowerLetter"/>
      <w:lvlText w:val="%2."/>
      <w:lvlJc w:val="left"/>
      <w:pPr>
        <w:ind w:left="3065" w:hanging="360"/>
      </w:pPr>
    </w:lvl>
    <w:lvl w:ilvl="2" w:tplc="0402001B" w:tentative="1">
      <w:start w:val="1"/>
      <w:numFmt w:val="lowerRoman"/>
      <w:lvlText w:val="%3."/>
      <w:lvlJc w:val="right"/>
      <w:pPr>
        <w:ind w:left="3785" w:hanging="180"/>
      </w:pPr>
    </w:lvl>
    <w:lvl w:ilvl="3" w:tplc="0402000F" w:tentative="1">
      <w:start w:val="1"/>
      <w:numFmt w:val="decimal"/>
      <w:lvlText w:val="%4."/>
      <w:lvlJc w:val="left"/>
      <w:pPr>
        <w:ind w:left="4505" w:hanging="360"/>
      </w:pPr>
    </w:lvl>
    <w:lvl w:ilvl="4" w:tplc="04020019" w:tentative="1">
      <w:start w:val="1"/>
      <w:numFmt w:val="lowerLetter"/>
      <w:lvlText w:val="%5."/>
      <w:lvlJc w:val="left"/>
      <w:pPr>
        <w:ind w:left="5225" w:hanging="360"/>
      </w:pPr>
    </w:lvl>
    <w:lvl w:ilvl="5" w:tplc="0402001B" w:tentative="1">
      <w:start w:val="1"/>
      <w:numFmt w:val="lowerRoman"/>
      <w:lvlText w:val="%6."/>
      <w:lvlJc w:val="right"/>
      <w:pPr>
        <w:ind w:left="5945" w:hanging="180"/>
      </w:pPr>
    </w:lvl>
    <w:lvl w:ilvl="6" w:tplc="0402000F" w:tentative="1">
      <w:start w:val="1"/>
      <w:numFmt w:val="decimal"/>
      <w:lvlText w:val="%7."/>
      <w:lvlJc w:val="left"/>
      <w:pPr>
        <w:ind w:left="6665" w:hanging="360"/>
      </w:pPr>
    </w:lvl>
    <w:lvl w:ilvl="7" w:tplc="04020019" w:tentative="1">
      <w:start w:val="1"/>
      <w:numFmt w:val="lowerLetter"/>
      <w:lvlText w:val="%8."/>
      <w:lvlJc w:val="left"/>
      <w:pPr>
        <w:ind w:left="7385" w:hanging="360"/>
      </w:pPr>
    </w:lvl>
    <w:lvl w:ilvl="8" w:tplc="0402001B" w:tentative="1">
      <w:start w:val="1"/>
      <w:numFmt w:val="lowerRoman"/>
      <w:lvlText w:val="%9."/>
      <w:lvlJc w:val="right"/>
      <w:pPr>
        <w:ind w:left="8105" w:hanging="180"/>
      </w:pPr>
    </w:lvl>
  </w:abstractNum>
  <w:abstractNum w:abstractNumId="19" w15:restartNumberingAfterBreak="0">
    <w:nsid w:val="48825FF4"/>
    <w:multiLevelType w:val="multilevel"/>
    <w:tmpl w:val="DF58DA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0" w15:restartNumberingAfterBreak="0">
    <w:nsid w:val="50202C56"/>
    <w:multiLevelType w:val="hybridMultilevel"/>
    <w:tmpl w:val="DFF8EA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39D0354"/>
    <w:multiLevelType w:val="multilevel"/>
    <w:tmpl w:val="F9AABA82"/>
    <w:lvl w:ilvl="0">
      <w:start w:val="1"/>
      <w:numFmt w:val="decimal"/>
      <w:lvlText w:val="%1."/>
      <w:lvlJc w:val="left"/>
      <w:pPr>
        <w:ind w:left="720" w:hanging="360"/>
      </w:pPr>
      <w:rPr>
        <w:rFonts w:hint="default"/>
        <w:color w:val="2E74B5" w:themeColor="accent1" w:themeShade="BF"/>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0C5017"/>
    <w:multiLevelType w:val="hybridMultilevel"/>
    <w:tmpl w:val="21007A46"/>
    <w:lvl w:ilvl="0" w:tplc="6124FD5C">
      <w:start w:val="2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7FE0081"/>
    <w:multiLevelType w:val="hybridMultilevel"/>
    <w:tmpl w:val="D0EA458E"/>
    <w:lvl w:ilvl="0" w:tplc="0402000F">
      <w:start w:val="1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D415034"/>
    <w:multiLevelType w:val="hybridMultilevel"/>
    <w:tmpl w:val="D0EA458E"/>
    <w:lvl w:ilvl="0" w:tplc="0402000F">
      <w:start w:val="1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953700A"/>
    <w:multiLevelType w:val="hybridMultilevel"/>
    <w:tmpl w:val="68A615A2"/>
    <w:lvl w:ilvl="0" w:tplc="6DA6FCB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6F4326B2"/>
    <w:multiLevelType w:val="hybridMultilevel"/>
    <w:tmpl w:val="773EF2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1452187"/>
    <w:multiLevelType w:val="multilevel"/>
    <w:tmpl w:val="E51CDEB0"/>
    <w:lvl w:ilvl="0">
      <w:start w:val="1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1F0614D"/>
    <w:multiLevelType w:val="hybridMultilevel"/>
    <w:tmpl w:val="F7A04FFE"/>
    <w:lvl w:ilvl="0" w:tplc="9474BCC2">
      <w:start w:val="1"/>
      <w:numFmt w:val="decimal"/>
      <w:lvlText w:val="%1."/>
      <w:lvlJc w:val="left"/>
      <w:pPr>
        <w:ind w:left="2345" w:hanging="360"/>
      </w:pPr>
      <w:rPr>
        <w:rFonts w:hint="default"/>
      </w:rPr>
    </w:lvl>
    <w:lvl w:ilvl="1" w:tplc="04020019" w:tentative="1">
      <w:start w:val="1"/>
      <w:numFmt w:val="lowerLetter"/>
      <w:lvlText w:val="%2."/>
      <w:lvlJc w:val="left"/>
      <w:pPr>
        <w:ind w:left="3065" w:hanging="360"/>
      </w:pPr>
    </w:lvl>
    <w:lvl w:ilvl="2" w:tplc="0402001B" w:tentative="1">
      <w:start w:val="1"/>
      <w:numFmt w:val="lowerRoman"/>
      <w:lvlText w:val="%3."/>
      <w:lvlJc w:val="right"/>
      <w:pPr>
        <w:ind w:left="3785" w:hanging="180"/>
      </w:pPr>
    </w:lvl>
    <w:lvl w:ilvl="3" w:tplc="0402000F" w:tentative="1">
      <w:start w:val="1"/>
      <w:numFmt w:val="decimal"/>
      <w:lvlText w:val="%4."/>
      <w:lvlJc w:val="left"/>
      <w:pPr>
        <w:ind w:left="4505" w:hanging="360"/>
      </w:pPr>
    </w:lvl>
    <w:lvl w:ilvl="4" w:tplc="04020019" w:tentative="1">
      <w:start w:val="1"/>
      <w:numFmt w:val="lowerLetter"/>
      <w:lvlText w:val="%5."/>
      <w:lvlJc w:val="left"/>
      <w:pPr>
        <w:ind w:left="5225" w:hanging="360"/>
      </w:pPr>
    </w:lvl>
    <w:lvl w:ilvl="5" w:tplc="0402001B" w:tentative="1">
      <w:start w:val="1"/>
      <w:numFmt w:val="lowerRoman"/>
      <w:lvlText w:val="%6."/>
      <w:lvlJc w:val="right"/>
      <w:pPr>
        <w:ind w:left="5945" w:hanging="180"/>
      </w:pPr>
    </w:lvl>
    <w:lvl w:ilvl="6" w:tplc="0402000F" w:tentative="1">
      <w:start w:val="1"/>
      <w:numFmt w:val="decimal"/>
      <w:lvlText w:val="%7."/>
      <w:lvlJc w:val="left"/>
      <w:pPr>
        <w:ind w:left="6665" w:hanging="360"/>
      </w:pPr>
    </w:lvl>
    <w:lvl w:ilvl="7" w:tplc="04020019" w:tentative="1">
      <w:start w:val="1"/>
      <w:numFmt w:val="lowerLetter"/>
      <w:lvlText w:val="%8."/>
      <w:lvlJc w:val="left"/>
      <w:pPr>
        <w:ind w:left="7385" w:hanging="360"/>
      </w:pPr>
    </w:lvl>
    <w:lvl w:ilvl="8" w:tplc="0402001B" w:tentative="1">
      <w:start w:val="1"/>
      <w:numFmt w:val="lowerRoman"/>
      <w:lvlText w:val="%9."/>
      <w:lvlJc w:val="right"/>
      <w:pPr>
        <w:ind w:left="8105" w:hanging="180"/>
      </w:pPr>
    </w:lvl>
  </w:abstractNum>
  <w:abstractNum w:abstractNumId="30" w15:restartNumberingAfterBreak="0">
    <w:nsid w:val="7EC511A5"/>
    <w:multiLevelType w:val="hybridMultilevel"/>
    <w:tmpl w:val="BE80CBCE"/>
    <w:lvl w:ilvl="0" w:tplc="04020005">
      <w:start w:val="1"/>
      <w:numFmt w:val="bullet"/>
      <w:lvlText w:val=""/>
      <w:lvlJc w:val="left"/>
      <w:pPr>
        <w:ind w:left="39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889609380">
    <w:abstractNumId w:val="13"/>
  </w:num>
  <w:num w:numId="2" w16cid:durableId="497891642">
    <w:abstractNumId w:val="11"/>
  </w:num>
  <w:num w:numId="3" w16cid:durableId="1487084485">
    <w:abstractNumId w:val="24"/>
  </w:num>
  <w:num w:numId="4" w16cid:durableId="984235039">
    <w:abstractNumId w:val="3"/>
  </w:num>
  <w:num w:numId="5" w16cid:durableId="2035886508">
    <w:abstractNumId w:val="4"/>
  </w:num>
  <w:num w:numId="6" w16cid:durableId="1769153959">
    <w:abstractNumId w:val="8"/>
  </w:num>
  <w:num w:numId="7" w16cid:durableId="1041712225">
    <w:abstractNumId w:val="6"/>
  </w:num>
  <w:num w:numId="8" w16cid:durableId="262491460">
    <w:abstractNumId w:val="22"/>
  </w:num>
  <w:num w:numId="9" w16cid:durableId="115563495">
    <w:abstractNumId w:val="25"/>
  </w:num>
  <w:num w:numId="10" w16cid:durableId="611010134">
    <w:abstractNumId w:val="14"/>
  </w:num>
  <w:num w:numId="11" w16cid:durableId="2121878358">
    <w:abstractNumId w:val="30"/>
  </w:num>
  <w:num w:numId="12" w16cid:durableId="356351115">
    <w:abstractNumId w:val="19"/>
  </w:num>
  <w:num w:numId="13" w16cid:durableId="1107041390">
    <w:abstractNumId w:val="2"/>
  </w:num>
  <w:num w:numId="14" w16cid:durableId="866679772">
    <w:abstractNumId w:val="23"/>
  </w:num>
  <w:num w:numId="15" w16cid:durableId="1966039282">
    <w:abstractNumId w:val="12"/>
  </w:num>
  <w:num w:numId="16" w16cid:durableId="536160622">
    <w:abstractNumId w:val="18"/>
  </w:num>
  <w:num w:numId="17" w16cid:durableId="760610928">
    <w:abstractNumId w:val="29"/>
  </w:num>
  <w:num w:numId="18" w16cid:durableId="1973514637">
    <w:abstractNumId w:val="9"/>
  </w:num>
  <w:num w:numId="19" w16cid:durableId="1265722268">
    <w:abstractNumId w:val="1"/>
  </w:num>
  <w:num w:numId="20" w16cid:durableId="971129079">
    <w:abstractNumId w:val="15"/>
  </w:num>
  <w:num w:numId="21" w16cid:durableId="324431918">
    <w:abstractNumId w:val="27"/>
  </w:num>
  <w:num w:numId="22" w16cid:durableId="965965755">
    <w:abstractNumId w:val="26"/>
  </w:num>
  <w:num w:numId="23" w16cid:durableId="506285477">
    <w:abstractNumId w:val="17"/>
  </w:num>
  <w:num w:numId="24" w16cid:durableId="1172336128">
    <w:abstractNumId w:val="5"/>
  </w:num>
  <w:num w:numId="25" w16cid:durableId="1652976822">
    <w:abstractNumId w:val="16"/>
  </w:num>
  <w:num w:numId="26" w16cid:durableId="922294852">
    <w:abstractNumId w:val="7"/>
  </w:num>
  <w:num w:numId="27" w16cid:durableId="1316836807">
    <w:abstractNumId w:val="0"/>
  </w:num>
  <w:num w:numId="28" w16cid:durableId="542788082">
    <w:abstractNumId w:val="21"/>
  </w:num>
  <w:num w:numId="29" w16cid:durableId="1295450459">
    <w:abstractNumId w:val="28"/>
  </w:num>
  <w:num w:numId="30" w16cid:durableId="212423009">
    <w:abstractNumId w:val="10"/>
  </w:num>
  <w:num w:numId="31" w16cid:durableId="19613000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BB"/>
    <w:rsid w:val="00005A7C"/>
    <w:rsid w:val="00017331"/>
    <w:rsid w:val="0003260E"/>
    <w:rsid w:val="000337E0"/>
    <w:rsid w:val="0003420F"/>
    <w:rsid w:val="00051425"/>
    <w:rsid w:val="0005239D"/>
    <w:rsid w:val="000528CD"/>
    <w:rsid w:val="0006268C"/>
    <w:rsid w:val="00071ACA"/>
    <w:rsid w:val="00073823"/>
    <w:rsid w:val="00080833"/>
    <w:rsid w:val="00087C4F"/>
    <w:rsid w:val="0009254B"/>
    <w:rsid w:val="000A076D"/>
    <w:rsid w:val="000A3314"/>
    <w:rsid w:val="000B0A11"/>
    <w:rsid w:val="000C2A2A"/>
    <w:rsid w:val="000C66F4"/>
    <w:rsid w:val="000D7AC1"/>
    <w:rsid w:val="000E0926"/>
    <w:rsid w:val="000E406E"/>
    <w:rsid w:val="00113617"/>
    <w:rsid w:val="0011409A"/>
    <w:rsid w:val="0012094A"/>
    <w:rsid w:val="00127ECF"/>
    <w:rsid w:val="00131381"/>
    <w:rsid w:val="00181593"/>
    <w:rsid w:val="001916DE"/>
    <w:rsid w:val="001A3A23"/>
    <w:rsid w:val="001C3DEA"/>
    <w:rsid w:val="001C5C10"/>
    <w:rsid w:val="001C6B3F"/>
    <w:rsid w:val="001D224C"/>
    <w:rsid w:val="001E29F5"/>
    <w:rsid w:val="001F6880"/>
    <w:rsid w:val="002432A3"/>
    <w:rsid w:val="0025298A"/>
    <w:rsid w:val="002529A9"/>
    <w:rsid w:val="00253B99"/>
    <w:rsid w:val="00282E28"/>
    <w:rsid w:val="002A18A5"/>
    <w:rsid w:val="002B5535"/>
    <w:rsid w:val="002C4CDA"/>
    <w:rsid w:val="002D7B10"/>
    <w:rsid w:val="002E46AA"/>
    <w:rsid w:val="002F04F7"/>
    <w:rsid w:val="002F4321"/>
    <w:rsid w:val="002F44AD"/>
    <w:rsid w:val="002F5698"/>
    <w:rsid w:val="00301F40"/>
    <w:rsid w:val="003169A0"/>
    <w:rsid w:val="00321258"/>
    <w:rsid w:val="00322097"/>
    <w:rsid w:val="0033397A"/>
    <w:rsid w:val="0033572B"/>
    <w:rsid w:val="0033787D"/>
    <w:rsid w:val="00350539"/>
    <w:rsid w:val="0037549B"/>
    <w:rsid w:val="003819AD"/>
    <w:rsid w:val="00385000"/>
    <w:rsid w:val="00396945"/>
    <w:rsid w:val="00396DD5"/>
    <w:rsid w:val="003A2066"/>
    <w:rsid w:val="003A66FE"/>
    <w:rsid w:val="003C3FB5"/>
    <w:rsid w:val="003D505F"/>
    <w:rsid w:val="003D52EB"/>
    <w:rsid w:val="003E425C"/>
    <w:rsid w:val="003E5611"/>
    <w:rsid w:val="003E7EE4"/>
    <w:rsid w:val="00412C39"/>
    <w:rsid w:val="00416B2E"/>
    <w:rsid w:val="0042292D"/>
    <w:rsid w:val="004229BB"/>
    <w:rsid w:val="00440CCA"/>
    <w:rsid w:val="00445D94"/>
    <w:rsid w:val="004469BF"/>
    <w:rsid w:val="00451D05"/>
    <w:rsid w:val="0045517B"/>
    <w:rsid w:val="00471A9A"/>
    <w:rsid w:val="004848AA"/>
    <w:rsid w:val="00492714"/>
    <w:rsid w:val="004A0F97"/>
    <w:rsid w:val="004A60F9"/>
    <w:rsid w:val="004B58C4"/>
    <w:rsid w:val="004C21B0"/>
    <w:rsid w:val="004C58D8"/>
    <w:rsid w:val="004D29F1"/>
    <w:rsid w:val="004D7096"/>
    <w:rsid w:val="004E3CD6"/>
    <w:rsid w:val="004F1E4F"/>
    <w:rsid w:val="004F1F20"/>
    <w:rsid w:val="004F36A5"/>
    <w:rsid w:val="004F3D59"/>
    <w:rsid w:val="00510D25"/>
    <w:rsid w:val="00526DAD"/>
    <w:rsid w:val="0054660C"/>
    <w:rsid w:val="00563F7C"/>
    <w:rsid w:val="00570373"/>
    <w:rsid w:val="0058335F"/>
    <w:rsid w:val="00590630"/>
    <w:rsid w:val="0060141E"/>
    <w:rsid w:val="00621947"/>
    <w:rsid w:val="00634F0B"/>
    <w:rsid w:val="00635825"/>
    <w:rsid w:val="006444C7"/>
    <w:rsid w:val="0065152C"/>
    <w:rsid w:val="00660C86"/>
    <w:rsid w:val="0066112A"/>
    <w:rsid w:val="00665FE9"/>
    <w:rsid w:val="006811BC"/>
    <w:rsid w:val="00684ED4"/>
    <w:rsid w:val="006863A0"/>
    <w:rsid w:val="00696A4A"/>
    <w:rsid w:val="006B000C"/>
    <w:rsid w:val="006B2FBA"/>
    <w:rsid w:val="006B637A"/>
    <w:rsid w:val="006B7EF1"/>
    <w:rsid w:val="006C634D"/>
    <w:rsid w:val="006D4DB7"/>
    <w:rsid w:val="006E11F0"/>
    <w:rsid w:val="006E3043"/>
    <w:rsid w:val="006F3044"/>
    <w:rsid w:val="00720B79"/>
    <w:rsid w:val="00742D46"/>
    <w:rsid w:val="00743906"/>
    <w:rsid w:val="00760FE3"/>
    <w:rsid w:val="007636D9"/>
    <w:rsid w:val="00764801"/>
    <w:rsid w:val="00772087"/>
    <w:rsid w:val="00774AF7"/>
    <w:rsid w:val="00777811"/>
    <w:rsid w:val="0078211A"/>
    <w:rsid w:val="00784B81"/>
    <w:rsid w:val="0078683A"/>
    <w:rsid w:val="00792C9A"/>
    <w:rsid w:val="00794FDA"/>
    <w:rsid w:val="007950E2"/>
    <w:rsid w:val="007B7E94"/>
    <w:rsid w:val="007C587B"/>
    <w:rsid w:val="007D0BC1"/>
    <w:rsid w:val="007E51AB"/>
    <w:rsid w:val="007E69F4"/>
    <w:rsid w:val="00801F97"/>
    <w:rsid w:val="00820085"/>
    <w:rsid w:val="00832DB8"/>
    <w:rsid w:val="00847564"/>
    <w:rsid w:val="00851FB1"/>
    <w:rsid w:val="0086018F"/>
    <w:rsid w:val="0086070B"/>
    <w:rsid w:val="00860D4E"/>
    <w:rsid w:val="008B4254"/>
    <w:rsid w:val="008B4F69"/>
    <w:rsid w:val="008B6175"/>
    <w:rsid w:val="008D0C54"/>
    <w:rsid w:val="008D2AEA"/>
    <w:rsid w:val="008D6F3D"/>
    <w:rsid w:val="008F795D"/>
    <w:rsid w:val="00923C87"/>
    <w:rsid w:val="009315D0"/>
    <w:rsid w:val="009371E6"/>
    <w:rsid w:val="009428C8"/>
    <w:rsid w:val="0096097F"/>
    <w:rsid w:val="009844C4"/>
    <w:rsid w:val="0099240F"/>
    <w:rsid w:val="009943E7"/>
    <w:rsid w:val="009A15AB"/>
    <w:rsid w:val="009B0C1B"/>
    <w:rsid w:val="009B2BBB"/>
    <w:rsid w:val="009B40B5"/>
    <w:rsid w:val="009C6406"/>
    <w:rsid w:val="009D0B76"/>
    <w:rsid w:val="009E2521"/>
    <w:rsid w:val="009E7EA3"/>
    <w:rsid w:val="00A02417"/>
    <w:rsid w:val="00A13CD7"/>
    <w:rsid w:val="00A179AD"/>
    <w:rsid w:val="00A17C0F"/>
    <w:rsid w:val="00A26CD9"/>
    <w:rsid w:val="00A43F29"/>
    <w:rsid w:val="00A43F5A"/>
    <w:rsid w:val="00A54F9D"/>
    <w:rsid w:val="00A608FF"/>
    <w:rsid w:val="00A624FF"/>
    <w:rsid w:val="00A65DAF"/>
    <w:rsid w:val="00A669FD"/>
    <w:rsid w:val="00A754F4"/>
    <w:rsid w:val="00A864A4"/>
    <w:rsid w:val="00A96A3A"/>
    <w:rsid w:val="00A972D9"/>
    <w:rsid w:val="00AB565C"/>
    <w:rsid w:val="00AC6DBC"/>
    <w:rsid w:val="00AD126A"/>
    <w:rsid w:val="00AD5BDA"/>
    <w:rsid w:val="00AE4777"/>
    <w:rsid w:val="00AF4FF8"/>
    <w:rsid w:val="00AF536E"/>
    <w:rsid w:val="00B06A69"/>
    <w:rsid w:val="00B1735F"/>
    <w:rsid w:val="00B303B7"/>
    <w:rsid w:val="00B30A4F"/>
    <w:rsid w:val="00B575B0"/>
    <w:rsid w:val="00B938CC"/>
    <w:rsid w:val="00BA4AB8"/>
    <w:rsid w:val="00BA5C33"/>
    <w:rsid w:val="00BB61C1"/>
    <w:rsid w:val="00BC3894"/>
    <w:rsid w:val="00BC47E1"/>
    <w:rsid w:val="00BC4A56"/>
    <w:rsid w:val="00BC58B9"/>
    <w:rsid w:val="00BD00EE"/>
    <w:rsid w:val="00C22084"/>
    <w:rsid w:val="00C240CE"/>
    <w:rsid w:val="00C409ED"/>
    <w:rsid w:val="00C62FE0"/>
    <w:rsid w:val="00C6634C"/>
    <w:rsid w:val="00C84039"/>
    <w:rsid w:val="00CA01E9"/>
    <w:rsid w:val="00CA1256"/>
    <w:rsid w:val="00CA2658"/>
    <w:rsid w:val="00CA70AB"/>
    <w:rsid w:val="00CB590A"/>
    <w:rsid w:val="00CB6231"/>
    <w:rsid w:val="00CC0E09"/>
    <w:rsid w:val="00CD49E7"/>
    <w:rsid w:val="00CD5ACE"/>
    <w:rsid w:val="00CF0107"/>
    <w:rsid w:val="00CF2342"/>
    <w:rsid w:val="00D00605"/>
    <w:rsid w:val="00D00B56"/>
    <w:rsid w:val="00D039A7"/>
    <w:rsid w:val="00D0523D"/>
    <w:rsid w:val="00D05D18"/>
    <w:rsid w:val="00D16CA2"/>
    <w:rsid w:val="00D23C1C"/>
    <w:rsid w:val="00D26D13"/>
    <w:rsid w:val="00D30AFA"/>
    <w:rsid w:val="00D41EB4"/>
    <w:rsid w:val="00D42418"/>
    <w:rsid w:val="00D45F24"/>
    <w:rsid w:val="00D559FC"/>
    <w:rsid w:val="00D667B6"/>
    <w:rsid w:val="00D73B9A"/>
    <w:rsid w:val="00D77316"/>
    <w:rsid w:val="00D91839"/>
    <w:rsid w:val="00DB4551"/>
    <w:rsid w:val="00DC15F8"/>
    <w:rsid w:val="00DE24EF"/>
    <w:rsid w:val="00DF058F"/>
    <w:rsid w:val="00DF7B8E"/>
    <w:rsid w:val="00E0721A"/>
    <w:rsid w:val="00E126E0"/>
    <w:rsid w:val="00E17E85"/>
    <w:rsid w:val="00E20DC2"/>
    <w:rsid w:val="00E2394F"/>
    <w:rsid w:val="00E32F80"/>
    <w:rsid w:val="00E3356E"/>
    <w:rsid w:val="00E33AC8"/>
    <w:rsid w:val="00E5585D"/>
    <w:rsid w:val="00E646B0"/>
    <w:rsid w:val="00E93FEB"/>
    <w:rsid w:val="00EA4FA6"/>
    <w:rsid w:val="00EC2E16"/>
    <w:rsid w:val="00EC7C8C"/>
    <w:rsid w:val="00ED2E8D"/>
    <w:rsid w:val="00F1104D"/>
    <w:rsid w:val="00F139F3"/>
    <w:rsid w:val="00F22767"/>
    <w:rsid w:val="00F24429"/>
    <w:rsid w:val="00F24DF9"/>
    <w:rsid w:val="00F32C39"/>
    <w:rsid w:val="00F34B44"/>
    <w:rsid w:val="00F558D6"/>
    <w:rsid w:val="00F776C6"/>
    <w:rsid w:val="00F77D1D"/>
    <w:rsid w:val="00F83963"/>
    <w:rsid w:val="00F84246"/>
    <w:rsid w:val="00F908AD"/>
    <w:rsid w:val="00FA2198"/>
    <w:rsid w:val="00FA53BD"/>
    <w:rsid w:val="00FC09FF"/>
    <w:rsid w:val="00FC7E94"/>
    <w:rsid w:val="00FD7DEC"/>
    <w:rsid w:val="00FE342B"/>
    <w:rsid w:val="00FF061F"/>
    <w:rsid w:val="00FF37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31027D"/>
  <w15:docId w15:val="{29040896-6AB2-4914-924C-AE438688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E0"/>
    <w:rPr>
      <w:rFonts w:ascii="Calibri" w:eastAsia="Calibri" w:hAnsi="Calibri" w:cs="Times New Roman"/>
    </w:rPr>
  </w:style>
  <w:style w:type="paragraph" w:styleId="Heading1">
    <w:name w:val="heading 1"/>
    <w:basedOn w:val="Normal"/>
    <w:next w:val="Normal"/>
    <w:link w:val="Heading1Char"/>
    <w:uiPriority w:val="9"/>
    <w:qFormat/>
    <w:rsid w:val="00510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58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239D"/>
  </w:style>
  <w:style w:type="paragraph" w:styleId="Footer">
    <w:name w:val="footer"/>
    <w:basedOn w:val="Normal"/>
    <w:link w:val="FooterChar"/>
    <w:uiPriority w:val="99"/>
    <w:unhideWhenUsed/>
    <w:rsid w:val="000523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239D"/>
  </w:style>
  <w:style w:type="character" w:styleId="Hyperlink">
    <w:name w:val="Hyperlink"/>
    <w:uiPriority w:val="99"/>
    <w:unhideWhenUsed/>
    <w:rsid w:val="00510D25"/>
    <w:rPr>
      <w:color w:val="0563C1"/>
      <w:u w:val="single"/>
    </w:rPr>
  </w:style>
  <w:style w:type="character" w:customStyle="1" w:styleId="Heading1Char">
    <w:name w:val="Heading 1 Char"/>
    <w:basedOn w:val="DefaultParagraphFont"/>
    <w:link w:val="Heading1"/>
    <w:uiPriority w:val="9"/>
    <w:rsid w:val="00510D2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qFormat/>
    <w:rsid w:val="00510D25"/>
    <w:pPr>
      <w:spacing w:before="480" w:line="276" w:lineRule="auto"/>
      <w:outlineLvl w:val="9"/>
    </w:pPr>
    <w:rPr>
      <w:rFonts w:ascii="Calibri Light" w:eastAsia="MS Gothic" w:hAnsi="Calibri Light" w:cs="Times New Roman"/>
      <w:b/>
      <w:bCs/>
      <w:color w:val="2E74B5"/>
      <w:sz w:val="28"/>
      <w:szCs w:val="28"/>
      <w:lang w:eastAsia="bg-BG"/>
    </w:rPr>
  </w:style>
  <w:style w:type="paragraph" w:styleId="TOC2">
    <w:name w:val="toc 2"/>
    <w:basedOn w:val="Normal"/>
    <w:next w:val="Normal"/>
    <w:autoRedefine/>
    <w:uiPriority w:val="39"/>
    <w:unhideWhenUsed/>
    <w:rsid w:val="00510D25"/>
    <w:pPr>
      <w:spacing w:after="100"/>
      <w:ind w:left="220"/>
    </w:pPr>
  </w:style>
  <w:style w:type="paragraph" w:styleId="TOC3">
    <w:name w:val="toc 3"/>
    <w:basedOn w:val="Normal"/>
    <w:next w:val="Normal"/>
    <w:autoRedefine/>
    <w:uiPriority w:val="39"/>
    <w:unhideWhenUsed/>
    <w:rsid w:val="00510D25"/>
    <w:pPr>
      <w:spacing w:after="100"/>
      <w:ind w:left="440"/>
    </w:pPr>
  </w:style>
  <w:style w:type="character" w:customStyle="1" w:styleId="Heading2Char">
    <w:name w:val="Heading 2 Char"/>
    <w:basedOn w:val="DefaultParagraphFont"/>
    <w:link w:val="Heading2"/>
    <w:uiPriority w:val="9"/>
    <w:rsid w:val="004C58D8"/>
    <w:rPr>
      <w:rFonts w:asciiTheme="majorHAnsi" w:eastAsiaTheme="majorEastAsia" w:hAnsiTheme="majorHAnsi" w:cstheme="majorBidi"/>
      <w:color w:val="2E74B5" w:themeColor="accent1" w:themeShade="BF"/>
      <w:sz w:val="26"/>
      <w:szCs w:val="26"/>
    </w:rPr>
  </w:style>
  <w:style w:type="paragraph" w:styleId="ListParagraph">
    <w:name w:val="List Paragraph"/>
    <w:aliases w:val="ПАРАГРАФ,List Paragraph1,List1,Colorful List - Accent 11,List Paragraph11,List Paragraph111,List Paragraph1111,Списък на абзаци"/>
    <w:basedOn w:val="Normal"/>
    <w:link w:val="ListParagraphChar"/>
    <w:uiPriority w:val="34"/>
    <w:qFormat/>
    <w:rsid w:val="004C58D8"/>
    <w:pPr>
      <w:ind w:left="720"/>
      <w:contextualSpacing/>
    </w:pPr>
  </w:style>
  <w:style w:type="character" w:customStyle="1" w:styleId="ListParagraphChar">
    <w:name w:val="List Paragraph Char"/>
    <w:aliases w:val="ПАРАГРАФ Char,List Paragraph1 Char,List1 Char,Colorful List - Accent 11 Char,List Paragraph11 Char,List Paragraph111 Char,List Paragraph1111 Char,Списък на абзаци Char"/>
    <w:link w:val="ListParagraph"/>
    <w:uiPriority w:val="34"/>
    <w:qFormat/>
    <w:rsid w:val="004C58D8"/>
    <w:rPr>
      <w:rFonts w:ascii="Calibri" w:eastAsia="Calibri" w:hAnsi="Calibri" w:cs="Times New Roman"/>
    </w:rPr>
  </w:style>
  <w:style w:type="paragraph" w:customStyle="1" w:styleId="Guidelines1">
    <w:name w:val="Guidelines 1"/>
    <w:basedOn w:val="TOC1"/>
    <w:rsid w:val="004C58D8"/>
    <w:pPr>
      <w:pageBreakBefore/>
      <w:tabs>
        <w:tab w:val="left" w:pos="180"/>
        <w:tab w:val="right" w:leader="dot" w:pos="9900"/>
      </w:tabs>
      <w:spacing w:before="120" w:after="480" w:line="240" w:lineRule="auto"/>
      <w:ind w:left="488" w:right="381" w:hanging="488"/>
      <w:jc w:val="both"/>
    </w:pPr>
    <w:rPr>
      <w:rFonts w:ascii="Times New Roman" w:eastAsia="Times New Roman" w:hAnsi="Times New Roman"/>
      <w:bCs/>
      <w:caps/>
      <w:noProof/>
      <w:snapToGrid w:val="0"/>
      <w:sz w:val="24"/>
      <w:szCs w:val="24"/>
      <w:lang w:val="en-GB"/>
    </w:rPr>
  </w:style>
  <w:style w:type="paragraph" w:customStyle="1" w:styleId="CM1">
    <w:name w:val="CM1"/>
    <w:basedOn w:val="Normal"/>
    <w:next w:val="Normal"/>
    <w:rsid w:val="004C58D8"/>
    <w:pPr>
      <w:autoSpaceDE w:val="0"/>
      <w:autoSpaceDN w:val="0"/>
      <w:adjustRightInd w:val="0"/>
      <w:spacing w:after="0" w:line="240" w:lineRule="auto"/>
    </w:pPr>
    <w:rPr>
      <w:rFonts w:ascii="EUAlbertina" w:eastAsia="Times New Roman" w:hAnsi="EUAlbertina"/>
      <w:sz w:val="24"/>
      <w:szCs w:val="24"/>
      <w:lang w:eastAsia="bg-BG"/>
    </w:rPr>
  </w:style>
  <w:style w:type="paragraph" w:customStyle="1" w:styleId="CM4">
    <w:name w:val="CM4"/>
    <w:basedOn w:val="Normal"/>
    <w:next w:val="Normal"/>
    <w:rsid w:val="004C58D8"/>
    <w:pPr>
      <w:autoSpaceDE w:val="0"/>
      <w:autoSpaceDN w:val="0"/>
      <w:adjustRightInd w:val="0"/>
      <w:spacing w:after="0" w:line="240" w:lineRule="auto"/>
    </w:pPr>
    <w:rPr>
      <w:rFonts w:ascii="EUAlbertina" w:eastAsia="Times New Roman" w:hAnsi="EUAlbertina"/>
      <w:sz w:val="24"/>
      <w:szCs w:val="24"/>
      <w:lang w:eastAsia="bg-BG"/>
    </w:rPr>
  </w:style>
  <w:style w:type="paragraph" w:styleId="TOC1">
    <w:name w:val="toc 1"/>
    <w:basedOn w:val="Normal"/>
    <w:next w:val="Normal"/>
    <w:autoRedefine/>
    <w:uiPriority w:val="39"/>
    <w:semiHidden/>
    <w:unhideWhenUsed/>
    <w:rsid w:val="004C58D8"/>
    <w:pPr>
      <w:spacing w:after="100"/>
    </w:pPr>
  </w:style>
  <w:style w:type="paragraph" w:customStyle="1" w:styleId="Default">
    <w:name w:val="Default"/>
    <w:rsid w:val="006B000C"/>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1C6B3F"/>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FE342B"/>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FE342B"/>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FE342B"/>
    <w:rPr>
      <w:vertAlign w:val="superscript"/>
    </w:rPr>
  </w:style>
  <w:style w:type="table" w:styleId="TableGrid">
    <w:name w:val="Table Grid"/>
    <w:basedOn w:val="TableNormal"/>
    <w:uiPriority w:val="39"/>
    <w:rsid w:val="00526D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26DA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odytextItalic1">
    <w:name w:val="Body text + Italic1"/>
    <w:aliases w:val="Spacing -1 pt2"/>
    <w:uiPriority w:val="99"/>
    <w:rsid w:val="00A608FF"/>
    <w:rPr>
      <w:rFonts w:ascii="Verdana" w:hAnsi="Verdana" w:cs="Verdana"/>
      <w:i/>
      <w:iCs/>
      <w:spacing w:val="-20"/>
      <w:sz w:val="21"/>
      <w:szCs w:val="21"/>
      <w:u w:val="none"/>
      <w:shd w:val="clear" w:color="auto" w:fill="FFFFFF"/>
    </w:rPr>
  </w:style>
  <w:style w:type="character" w:customStyle="1" w:styleId="Bodytext3">
    <w:name w:val="Body text (3)"/>
    <w:uiPriority w:val="99"/>
    <w:rsid w:val="002529A9"/>
  </w:style>
  <w:style w:type="character" w:styleId="Strong">
    <w:name w:val="Strong"/>
    <w:basedOn w:val="DefaultParagraphFont"/>
    <w:uiPriority w:val="22"/>
    <w:qFormat/>
    <w:rsid w:val="00AD126A"/>
    <w:rPr>
      <w:b/>
      <w:bCs/>
    </w:rPr>
  </w:style>
  <w:style w:type="paragraph" w:customStyle="1" w:styleId="Style1">
    <w:name w:val="Style1"/>
    <w:basedOn w:val="Normal"/>
    <w:link w:val="Style1Char"/>
    <w:qFormat/>
    <w:rsid w:val="00AD126A"/>
    <w:pPr>
      <w:pBdr>
        <w:top w:val="single" w:sz="4" w:space="1" w:color="auto"/>
        <w:left w:val="single" w:sz="4" w:space="4" w:color="auto"/>
        <w:bottom w:val="single" w:sz="4" w:space="1" w:color="auto"/>
        <w:right w:val="single" w:sz="4" w:space="4" w:color="auto"/>
      </w:pBdr>
      <w:spacing w:after="0" w:line="276" w:lineRule="auto"/>
    </w:pPr>
  </w:style>
  <w:style w:type="character" w:customStyle="1" w:styleId="Style1Char">
    <w:name w:val="Style1 Char"/>
    <w:basedOn w:val="DefaultParagraphFont"/>
    <w:link w:val="Style1"/>
    <w:rsid w:val="00AD126A"/>
    <w:rPr>
      <w:rFonts w:ascii="Calibri" w:eastAsia="Calibri" w:hAnsi="Calibri" w:cs="Times New Roman"/>
    </w:rPr>
  </w:style>
  <w:style w:type="paragraph" w:styleId="BalloonText">
    <w:name w:val="Balloon Text"/>
    <w:basedOn w:val="Normal"/>
    <w:link w:val="BalloonTextChar"/>
    <w:uiPriority w:val="99"/>
    <w:semiHidden/>
    <w:unhideWhenUsed/>
    <w:rsid w:val="0025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8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4699">
      <w:bodyDiv w:val="1"/>
      <w:marLeft w:val="0"/>
      <w:marRight w:val="0"/>
      <w:marTop w:val="0"/>
      <w:marBottom w:val="0"/>
      <w:divBdr>
        <w:top w:val="none" w:sz="0" w:space="0" w:color="auto"/>
        <w:left w:val="none" w:sz="0" w:space="0" w:color="auto"/>
        <w:bottom w:val="none" w:sz="0" w:space="0" w:color="auto"/>
        <w:right w:val="none" w:sz="0" w:space="0" w:color="auto"/>
      </w:divBdr>
    </w:div>
    <w:div w:id="8769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0594-BE54-4548-AA43-91895149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58</Pages>
  <Words>16715</Words>
  <Characters>95276</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Kantcho Kantchev</cp:lastModifiedBy>
  <cp:revision>74</cp:revision>
  <cp:lastPrinted>2019-01-10T07:45:00Z</cp:lastPrinted>
  <dcterms:created xsi:type="dcterms:W3CDTF">2019-06-03T07:45:00Z</dcterms:created>
  <dcterms:modified xsi:type="dcterms:W3CDTF">2022-09-27T08:42:00Z</dcterms:modified>
</cp:coreProperties>
</file>