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EF" w:rsidRDefault="002534EF" w:rsidP="002534EF">
      <w:pPr>
        <w:jc w:val="center"/>
        <w:rPr>
          <w:rFonts w:ascii="Times New Roman" w:hAnsi="Times New Roman" w:cs="Times New Roman"/>
          <w:sz w:val="24"/>
          <w:szCs w:val="24"/>
        </w:rPr>
      </w:pPr>
    </w:p>
    <w:p w:rsidR="00BE19B3" w:rsidRDefault="00BE19B3" w:rsidP="002534EF">
      <w:pPr>
        <w:jc w:val="center"/>
        <w:rPr>
          <w:rFonts w:ascii="Times New Roman" w:hAnsi="Times New Roman" w:cs="Times New Roman"/>
          <w:sz w:val="24"/>
          <w:szCs w:val="24"/>
        </w:rPr>
      </w:pPr>
    </w:p>
    <w:p w:rsidR="00CC4628" w:rsidRPr="003C0EF4" w:rsidRDefault="002534EF" w:rsidP="003C0EF4">
      <w:pPr>
        <w:spacing w:after="0" w:line="276" w:lineRule="auto"/>
        <w:jc w:val="center"/>
        <w:rPr>
          <w:rFonts w:ascii="Times New Roman" w:hAnsi="Times New Roman" w:cs="Times New Roman"/>
          <w:b/>
          <w:sz w:val="24"/>
          <w:szCs w:val="24"/>
        </w:rPr>
      </w:pPr>
      <w:r w:rsidRPr="003C0EF4">
        <w:rPr>
          <w:rFonts w:ascii="Times New Roman" w:hAnsi="Times New Roman" w:cs="Times New Roman"/>
          <w:b/>
          <w:sz w:val="24"/>
          <w:szCs w:val="24"/>
        </w:rPr>
        <w:t>УСЛОВИЯ ЗА ИЗПЪЛНЕНИЕ</w:t>
      </w:r>
    </w:p>
    <w:p w:rsidR="003C1C68" w:rsidRDefault="002534EF" w:rsidP="003C0EF4">
      <w:pPr>
        <w:spacing w:after="0" w:line="276" w:lineRule="auto"/>
        <w:jc w:val="center"/>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 xml:space="preserve">НА ПРОЕКТИ ПО </w:t>
      </w:r>
      <w:r w:rsidR="003C1C68">
        <w:rPr>
          <w:rFonts w:ascii="Times New Roman" w:eastAsiaTheme="majorEastAsia" w:hAnsi="Times New Roman" w:cstheme="majorBidi"/>
          <w:b/>
          <w:bCs/>
          <w:sz w:val="24"/>
          <w:szCs w:val="24"/>
        </w:rPr>
        <w:t>СВОМР НА МИГ „</w:t>
      </w:r>
      <w:r w:rsidR="00FA3C0B">
        <w:rPr>
          <w:rFonts w:ascii="Times New Roman" w:eastAsiaTheme="majorEastAsia" w:hAnsi="Times New Roman" w:cstheme="majorBidi"/>
          <w:b/>
          <w:bCs/>
          <w:sz w:val="24"/>
          <w:szCs w:val="24"/>
        </w:rPr>
        <w:t>МОМЧИЛГРАД - КРУМОВГРАД</w:t>
      </w:r>
      <w:r w:rsidR="003C1C68">
        <w:rPr>
          <w:rFonts w:ascii="Times New Roman" w:eastAsiaTheme="majorEastAsia" w:hAnsi="Times New Roman" w:cstheme="majorBidi"/>
          <w:b/>
          <w:bCs/>
          <w:sz w:val="24"/>
          <w:szCs w:val="24"/>
        </w:rPr>
        <w:t xml:space="preserve">“ ОТ </w:t>
      </w:r>
      <w:r>
        <w:rPr>
          <w:rFonts w:ascii="Times New Roman" w:eastAsiaTheme="majorEastAsia" w:hAnsi="Times New Roman" w:cstheme="majorBidi"/>
          <w:b/>
          <w:bCs/>
          <w:sz w:val="24"/>
          <w:szCs w:val="24"/>
        </w:rPr>
        <w:t xml:space="preserve">ПРОГРАМА ЗА РАЗВИТИЕ НА СЕЛСКИТЕ РАЙОНИ </w:t>
      </w:r>
    </w:p>
    <w:p w:rsidR="002534EF" w:rsidRDefault="002534EF" w:rsidP="003C0EF4">
      <w:pPr>
        <w:spacing w:after="0" w:line="276" w:lineRule="auto"/>
        <w:jc w:val="center"/>
        <w:rPr>
          <w:rFonts w:ascii="Times New Roman" w:eastAsiaTheme="majorEastAsia" w:hAnsi="Times New Roman" w:cstheme="majorBidi"/>
          <w:b/>
          <w:bCs/>
          <w:sz w:val="24"/>
          <w:szCs w:val="24"/>
          <w:lang w:val="en-US"/>
        </w:rPr>
      </w:pPr>
      <w:r>
        <w:rPr>
          <w:rFonts w:ascii="Times New Roman" w:eastAsiaTheme="majorEastAsia" w:hAnsi="Times New Roman" w:cstheme="majorBidi"/>
          <w:b/>
          <w:bCs/>
          <w:sz w:val="24"/>
          <w:szCs w:val="24"/>
        </w:rPr>
        <w:t>ЗА ПЕРИОДА 2014-2020</w:t>
      </w:r>
    </w:p>
    <w:p w:rsidR="002534EF" w:rsidRDefault="002534EF" w:rsidP="002534EF">
      <w:pPr>
        <w:spacing w:line="360" w:lineRule="auto"/>
        <w:jc w:val="center"/>
        <w:rPr>
          <w:rFonts w:ascii="Times New Roman" w:eastAsiaTheme="majorEastAsia" w:hAnsi="Times New Roman" w:cstheme="majorBidi"/>
          <w:b/>
          <w:bCs/>
          <w:sz w:val="24"/>
          <w:szCs w:val="28"/>
          <w:lang w:val="en-US"/>
        </w:rPr>
      </w:pPr>
    </w:p>
    <w:p w:rsidR="002534EF" w:rsidRDefault="002534EF" w:rsidP="002534EF">
      <w:pPr>
        <w:spacing w:line="360" w:lineRule="auto"/>
        <w:jc w:val="center"/>
        <w:rPr>
          <w:rFonts w:ascii="Times New Roman" w:eastAsiaTheme="majorEastAsia" w:hAnsi="Times New Roman" w:cstheme="majorBidi"/>
          <w:b/>
          <w:bCs/>
          <w:sz w:val="24"/>
          <w:szCs w:val="28"/>
          <w:lang w:val="en-US"/>
        </w:rPr>
      </w:pPr>
    </w:p>
    <w:tbl>
      <w:tblPr>
        <w:tblStyle w:val="a4"/>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shd w:val="clear" w:color="auto" w:fill="D9E2F3" w:themeFill="accent1" w:themeFillTint="33"/>
        <w:tblLook w:val="04A0" w:firstRow="1" w:lastRow="0" w:firstColumn="1" w:lastColumn="0" w:noHBand="0" w:noVBand="1"/>
      </w:tblPr>
      <w:tblGrid>
        <w:gridCol w:w="9212"/>
      </w:tblGrid>
      <w:tr w:rsidR="002534EF" w:rsidTr="002534EF">
        <w:tc>
          <w:tcPr>
            <w:tcW w:w="9212"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9E2F3" w:themeFill="accent1" w:themeFillTint="33"/>
          </w:tcPr>
          <w:p w:rsidR="002534EF" w:rsidRPr="005B6739" w:rsidRDefault="002534EF">
            <w:pPr>
              <w:spacing w:line="360" w:lineRule="auto"/>
              <w:jc w:val="center"/>
              <w:rPr>
                <w:rFonts w:ascii="Times New Roman" w:eastAsiaTheme="majorEastAsia" w:hAnsi="Times New Roman" w:cstheme="majorBidi"/>
                <w:b/>
                <w:bCs/>
                <w:sz w:val="24"/>
                <w:szCs w:val="28"/>
                <w:lang w:val="ru-RU"/>
              </w:rPr>
            </w:pPr>
          </w:p>
          <w:p w:rsidR="00EB55E8" w:rsidRPr="00EB55E8" w:rsidRDefault="002534EF" w:rsidP="00EB55E8">
            <w:pPr>
              <w:spacing w:line="360" w:lineRule="auto"/>
              <w:rPr>
                <w:rFonts w:ascii="Times New Roman" w:eastAsiaTheme="majorEastAsia" w:hAnsi="Times New Roman" w:cstheme="majorBidi"/>
                <w:b/>
                <w:bCs/>
                <w:sz w:val="24"/>
                <w:szCs w:val="28"/>
                <w:lang w:val="en-US"/>
              </w:rPr>
            </w:pPr>
            <w:r>
              <w:rPr>
                <w:rFonts w:ascii="Times New Roman" w:eastAsiaTheme="majorEastAsia" w:hAnsi="Times New Roman" w:cstheme="majorBidi"/>
                <w:b/>
                <w:bCs/>
                <w:sz w:val="24"/>
                <w:szCs w:val="28"/>
              </w:rPr>
              <w:t xml:space="preserve">Процедура чрез подбор на проектни предложения </w:t>
            </w:r>
            <w:r w:rsidRPr="000F0EB1">
              <w:rPr>
                <w:rFonts w:ascii="Times New Roman" w:eastAsiaTheme="majorEastAsia" w:hAnsi="Times New Roman" w:cstheme="majorBidi"/>
                <w:b/>
                <w:bCs/>
                <w:sz w:val="24"/>
                <w:szCs w:val="28"/>
              </w:rPr>
              <w:t xml:space="preserve">по </w:t>
            </w:r>
            <w:r w:rsidR="003D397B" w:rsidRPr="000F0EB1">
              <w:rPr>
                <w:rFonts w:ascii="Times New Roman" w:eastAsiaTheme="majorEastAsia" w:hAnsi="Times New Roman" w:cstheme="majorBidi"/>
                <w:b/>
                <w:bCs/>
                <w:sz w:val="24"/>
                <w:szCs w:val="28"/>
              </w:rPr>
              <w:t>BG06RDNP001-19.600</w:t>
            </w:r>
            <w:r w:rsidR="00EB55E8" w:rsidRPr="000F0EB1">
              <w:rPr>
                <w:rFonts w:ascii="Times New Roman" w:eastAsiaTheme="majorEastAsia" w:hAnsi="Times New Roman" w:cstheme="majorBidi"/>
                <w:b/>
                <w:bCs/>
                <w:sz w:val="24"/>
                <w:szCs w:val="28"/>
              </w:rPr>
              <w:t xml:space="preserve"> МИГ</w:t>
            </w:r>
            <w:r w:rsidR="00EB55E8" w:rsidRPr="00EB55E8">
              <w:rPr>
                <w:rFonts w:ascii="Times New Roman" w:eastAsiaTheme="majorEastAsia" w:hAnsi="Times New Roman" w:cstheme="majorBidi"/>
                <w:b/>
                <w:bCs/>
                <w:sz w:val="24"/>
                <w:szCs w:val="28"/>
              </w:rPr>
              <w:t xml:space="preserve"> Момчилград - Крумовград - мярка 4.1.1. „Подкрепа за инвестиции в земеделски стопанства“</w:t>
            </w:r>
            <w:r w:rsidR="00EB55E8" w:rsidRPr="00EB55E8">
              <w:rPr>
                <w:rFonts w:ascii="Times New Roman" w:eastAsiaTheme="majorEastAsia" w:hAnsi="Times New Roman" w:cstheme="majorBidi"/>
                <w:b/>
                <w:bCs/>
                <w:sz w:val="24"/>
                <w:szCs w:val="28"/>
                <w:lang w:val="en-US"/>
              </w:rPr>
              <w:t xml:space="preserve"> </w:t>
            </w:r>
          </w:p>
          <w:p w:rsidR="002534EF" w:rsidRPr="00EB55E8" w:rsidRDefault="002534EF" w:rsidP="00EB55E8">
            <w:pPr>
              <w:spacing w:line="360" w:lineRule="auto"/>
              <w:rPr>
                <w:rFonts w:ascii="Times New Roman" w:eastAsiaTheme="majorEastAsia" w:hAnsi="Times New Roman" w:cstheme="majorBidi"/>
                <w:b/>
                <w:bCs/>
                <w:sz w:val="24"/>
                <w:szCs w:val="28"/>
                <w:lang w:val="en-US"/>
              </w:rPr>
            </w:pPr>
          </w:p>
          <w:p w:rsidR="002534EF" w:rsidRDefault="002534EF">
            <w:pPr>
              <w:spacing w:line="360" w:lineRule="auto"/>
              <w:jc w:val="center"/>
              <w:rPr>
                <w:rFonts w:ascii="Times New Roman" w:eastAsiaTheme="majorEastAsia" w:hAnsi="Times New Roman" w:cstheme="majorBidi"/>
                <w:b/>
                <w:bCs/>
                <w:sz w:val="24"/>
                <w:szCs w:val="28"/>
              </w:rPr>
            </w:pPr>
          </w:p>
        </w:tc>
      </w:tr>
    </w:tbl>
    <w:p w:rsidR="002534EF" w:rsidRPr="005D1794" w:rsidRDefault="002534EF" w:rsidP="005D1794">
      <w:pPr>
        <w:rPr>
          <w:rFonts w:ascii="Times New Roman" w:hAnsi="Times New Roman" w:cs="Times New Roman"/>
          <w:sz w:val="24"/>
          <w:szCs w:val="24"/>
          <w:lang w:val="en-US"/>
        </w:rPr>
      </w:pPr>
    </w:p>
    <w:sdt>
      <w:sdtPr>
        <w:rPr>
          <w:rFonts w:asciiTheme="minorHAnsi" w:hAnsiTheme="minorHAnsi" w:cstheme="minorBidi"/>
          <w:b w:val="0"/>
          <w:noProof w:val="0"/>
          <w:sz w:val="22"/>
          <w:szCs w:val="22"/>
        </w:rPr>
        <w:id w:val="477424152"/>
        <w:docPartObj>
          <w:docPartGallery w:val="Table of Contents"/>
          <w:docPartUnique/>
        </w:docPartObj>
      </w:sdtPr>
      <w:sdtEndPr/>
      <w:sdtContent>
        <w:p w:rsidR="002534EF" w:rsidRDefault="002534EF" w:rsidP="0006161F">
          <w:pPr>
            <w:pStyle w:val="11"/>
            <w:rPr>
              <w:lang w:val="en-US"/>
            </w:rPr>
          </w:pPr>
          <w:r>
            <w:t>СЪДЪРЖАНИЕ:</w:t>
          </w:r>
        </w:p>
        <w:p w:rsidR="005D1794" w:rsidRPr="005D1794" w:rsidRDefault="005D1794" w:rsidP="005D1794">
          <w:pPr>
            <w:rPr>
              <w:lang w:val="en-US"/>
            </w:rPr>
          </w:pPr>
        </w:p>
        <w:p w:rsidR="003C0EF4" w:rsidRPr="000359D5" w:rsidRDefault="00B60A5C" w:rsidP="005D1794">
          <w:pPr>
            <w:pStyle w:val="11"/>
            <w:rPr>
              <w:rFonts w:eastAsiaTheme="minorEastAsia"/>
              <w:lang w:eastAsia="bg-BG"/>
            </w:rPr>
          </w:pPr>
          <w:r>
            <w:fldChar w:fldCharType="begin"/>
          </w:r>
          <w:r w:rsidR="00FB399D">
            <w:instrText xml:space="preserve"> TOC \o "1-3" \h \z \u </w:instrText>
          </w:r>
          <w:r>
            <w:fldChar w:fldCharType="separate"/>
          </w:r>
          <w:hyperlink w:anchor="_Toc506888280" w:history="1">
            <w:r w:rsidR="0006161F" w:rsidRPr="000359D5">
              <w:rPr>
                <w:rStyle w:val="a3"/>
              </w:rPr>
              <w:t>1.</w:t>
            </w:r>
            <w:r w:rsidR="0006161F" w:rsidRPr="000359D5">
              <w:rPr>
                <w:color w:val="222222"/>
              </w:rPr>
              <w:t>Договор за предоставяне на безвъзмездна финансова помощ</w:t>
            </w:r>
            <w:r w:rsidR="003C0EF4" w:rsidRPr="000359D5">
              <w:rPr>
                <w:webHidden/>
              </w:rPr>
              <w:tab/>
            </w:r>
            <w:r w:rsidRPr="000359D5">
              <w:rPr>
                <w:webHidden/>
              </w:rPr>
              <w:fldChar w:fldCharType="begin"/>
            </w:r>
            <w:r w:rsidR="003C0EF4" w:rsidRPr="000359D5">
              <w:rPr>
                <w:webHidden/>
              </w:rPr>
              <w:instrText xml:space="preserve"> PAGEREF _Toc506888280 \h </w:instrText>
            </w:r>
            <w:r w:rsidRPr="000359D5">
              <w:rPr>
                <w:webHidden/>
              </w:rPr>
            </w:r>
            <w:r w:rsidRPr="000359D5">
              <w:rPr>
                <w:webHidden/>
              </w:rPr>
              <w:fldChar w:fldCharType="separate"/>
            </w:r>
            <w:r w:rsidR="003C0EF4" w:rsidRPr="000359D5">
              <w:rPr>
                <w:webHidden/>
              </w:rPr>
              <w:t>2</w:t>
            </w:r>
            <w:r w:rsidRPr="000359D5">
              <w:rPr>
                <w:webHidden/>
              </w:rPr>
              <w:fldChar w:fldCharType="end"/>
            </w:r>
          </w:hyperlink>
        </w:p>
        <w:p w:rsidR="003C0EF4" w:rsidRPr="000359D5" w:rsidRDefault="007D377C" w:rsidP="005D1794">
          <w:pPr>
            <w:widowControl w:val="0"/>
            <w:tabs>
              <w:tab w:val="left" w:pos="851"/>
            </w:tabs>
            <w:autoSpaceDE w:val="0"/>
            <w:autoSpaceDN w:val="0"/>
            <w:adjustRightInd w:val="0"/>
            <w:jc w:val="both"/>
            <w:rPr>
              <w:rFonts w:ascii="Times New Roman" w:hAnsi="Times New Roman" w:cs="Times New Roman"/>
              <w:b/>
              <w:sz w:val="24"/>
              <w:szCs w:val="24"/>
            </w:rPr>
          </w:pPr>
          <w:hyperlink w:anchor="_Toc506888281" w:history="1">
            <w:r w:rsidR="00957FF8" w:rsidRPr="000359D5">
              <w:rPr>
                <w:rStyle w:val="a3"/>
                <w:rFonts w:ascii="Times New Roman" w:hAnsi="Times New Roman" w:cs="Times New Roman"/>
                <w:b/>
                <w:sz w:val="24"/>
                <w:szCs w:val="24"/>
              </w:rPr>
              <w:t>2.</w:t>
            </w:r>
            <w:r w:rsidR="0006161F" w:rsidRPr="000359D5">
              <w:rPr>
                <w:rFonts w:ascii="Times New Roman" w:hAnsi="Times New Roman" w:cs="Times New Roman"/>
                <w:b/>
                <w:sz w:val="24"/>
                <w:szCs w:val="24"/>
              </w:rPr>
              <w:t xml:space="preserve">Условия, отнасящи се до осъществяване на дейностите по проектите на получателите на финансова помощ от ЕЗФРСР </w:t>
            </w:r>
            <w:r w:rsidR="003C0EF4" w:rsidRPr="000359D5">
              <w:rPr>
                <w:rStyle w:val="a3"/>
                <w:rFonts w:ascii="Times New Roman" w:hAnsi="Times New Roman" w:cs="Times New Roman"/>
                <w:b/>
                <w:noProof/>
                <w:sz w:val="24"/>
                <w:szCs w:val="24"/>
              </w:rPr>
              <w:t>:</w:t>
            </w:r>
            <w:r w:rsidR="00957FF8" w:rsidRPr="000359D5">
              <w:rPr>
                <w:rStyle w:val="a3"/>
                <w:rFonts w:ascii="Times New Roman" w:hAnsi="Times New Roman" w:cs="Times New Roman"/>
                <w:b/>
                <w:noProof/>
                <w:sz w:val="24"/>
                <w:szCs w:val="24"/>
              </w:rPr>
              <w:t>.....................................................</w:t>
            </w:r>
            <w:r w:rsidR="003C0EF4" w:rsidRPr="000359D5">
              <w:rPr>
                <w:rFonts w:ascii="Times New Roman" w:hAnsi="Times New Roman" w:cs="Times New Roman"/>
                <w:b/>
                <w:noProof/>
                <w:webHidden/>
                <w:sz w:val="24"/>
                <w:szCs w:val="24"/>
              </w:rPr>
              <w:tab/>
            </w:r>
            <w:r w:rsidR="00957FF8" w:rsidRPr="000359D5">
              <w:rPr>
                <w:rFonts w:ascii="Times New Roman" w:hAnsi="Times New Roman" w:cs="Times New Roman"/>
                <w:b/>
                <w:noProof/>
                <w:webHidden/>
                <w:sz w:val="24"/>
                <w:szCs w:val="24"/>
              </w:rPr>
              <w:t>.......4</w:t>
            </w:r>
          </w:hyperlink>
          <w:r w:rsidR="00957FF8" w:rsidRPr="000359D5">
            <w:rPr>
              <w:rFonts w:ascii="Times New Roman" w:hAnsi="Times New Roman" w:cs="Times New Roman"/>
              <w:b/>
              <w:sz w:val="24"/>
              <w:szCs w:val="24"/>
            </w:rPr>
            <w:t xml:space="preserve"> </w:t>
          </w:r>
        </w:p>
        <w:p w:rsidR="003C0EF4" w:rsidRPr="000359D5" w:rsidRDefault="007D377C" w:rsidP="005D1794">
          <w:pPr>
            <w:widowControl w:val="0"/>
            <w:tabs>
              <w:tab w:val="left" w:pos="851"/>
            </w:tabs>
            <w:autoSpaceDE w:val="0"/>
            <w:autoSpaceDN w:val="0"/>
            <w:adjustRightInd w:val="0"/>
            <w:jc w:val="both"/>
            <w:rPr>
              <w:rFonts w:ascii="Times New Roman" w:hAnsi="Times New Roman" w:cs="Times New Roman"/>
              <w:b/>
              <w:sz w:val="24"/>
              <w:szCs w:val="24"/>
              <w:lang w:val="en-US"/>
            </w:rPr>
          </w:pPr>
          <w:hyperlink w:anchor="_Toc506888282" w:history="1">
            <w:r w:rsidR="00D33F5F" w:rsidRPr="000359D5">
              <w:rPr>
                <w:rStyle w:val="a3"/>
                <w:rFonts w:ascii="Times New Roman" w:hAnsi="Times New Roman" w:cs="Times New Roman"/>
                <w:b/>
                <w:sz w:val="24"/>
                <w:szCs w:val="24"/>
              </w:rPr>
              <w:t xml:space="preserve">3. </w:t>
            </w:r>
            <w:r w:rsidR="00D33F5F" w:rsidRPr="000359D5">
              <w:rPr>
                <w:rFonts w:ascii="Times New Roman" w:hAnsi="Times New Roman" w:cs="Times New Roman"/>
                <w:b/>
                <w:sz w:val="24"/>
                <w:szCs w:val="24"/>
              </w:rPr>
              <w:t>Изплащане на безвъзмездната финансова помощ</w:t>
            </w:r>
            <w:r w:rsidR="003C0EF4" w:rsidRPr="000359D5">
              <w:rPr>
                <w:rStyle w:val="a3"/>
                <w:rFonts w:ascii="Times New Roman" w:hAnsi="Times New Roman" w:cs="Times New Roman"/>
                <w:b/>
                <w:noProof/>
                <w:sz w:val="24"/>
                <w:szCs w:val="24"/>
              </w:rPr>
              <w:t>:</w:t>
            </w:r>
            <w:r w:rsidR="00957FF8" w:rsidRPr="000359D5">
              <w:rPr>
                <w:rStyle w:val="a3"/>
                <w:rFonts w:ascii="Times New Roman" w:hAnsi="Times New Roman" w:cs="Times New Roman"/>
                <w:b/>
                <w:noProof/>
                <w:sz w:val="24"/>
                <w:szCs w:val="24"/>
              </w:rPr>
              <w:t>...............................................</w:t>
            </w:r>
            <w:r w:rsidR="003C0EF4" w:rsidRPr="000359D5">
              <w:rPr>
                <w:rFonts w:ascii="Times New Roman" w:hAnsi="Times New Roman" w:cs="Times New Roman"/>
                <w:b/>
                <w:noProof/>
                <w:webHidden/>
                <w:sz w:val="24"/>
                <w:szCs w:val="24"/>
              </w:rPr>
              <w:tab/>
            </w:r>
            <w:r w:rsidR="00957FF8" w:rsidRPr="000359D5">
              <w:rPr>
                <w:rFonts w:ascii="Times New Roman" w:hAnsi="Times New Roman" w:cs="Times New Roman"/>
                <w:b/>
                <w:noProof/>
                <w:webHidden/>
                <w:sz w:val="24"/>
                <w:szCs w:val="24"/>
              </w:rPr>
              <w:t>.......7</w:t>
            </w:r>
          </w:hyperlink>
        </w:p>
        <w:p w:rsidR="00D33F5F" w:rsidRPr="000359D5" w:rsidRDefault="00D33F5F" w:rsidP="005D1794">
          <w:pPr>
            <w:widowControl w:val="0"/>
            <w:tabs>
              <w:tab w:val="left" w:pos="851"/>
            </w:tabs>
            <w:autoSpaceDE w:val="0"/>
            <w:autoSpaceDN w:val="0"/>
            <w:adjustRightInd w:val="0"/>
            <w:jc w:val="both"/>
            <w:rPr>
              <w:rFonts w:ascii="Times New Roman" w:hAnsi="Times New Roman" w:cs="Times New Roman"/>
              <w:b/>
              <w:sz w:val="24"/>
              <w:szCs w:val="24"/>
              <w:lang w:val="en-US"/>
            </w:rPr>
          </w:pPr>
          <w:r w:rsidRPr="000359D5">
            <w:rPr>
              <w:rFonts w:ascii="Times New Roman" w:hAnsi="Times New Roman" w:cs="Times New Roman"/>
              <w:b/>
              <w:sz w:val="24"/>
              <w:szCs w:val="24"/>
              <w:lang w:val="en-US"/>
            </w:rPr>
            <w:t xml:space="preserve">4. </w:t>
          </w:r>
          <w:r w:rsidRPr="000359D5">
            <w:rPr>
              <w:rFonts w:ascii="Times New Roman" w:hAnsi="Times New Roman" w:cs="Times New Roman"/>
              <w:b/>
              <w:sz w:val="24"/>
              <w:szCs w:val="24"/>
            </w:rPr>
            <w:t>Условия и ред за намаляване и отказ за изплащане на финансовата помощ</w:t>
          </w:r>
          <w:r w:rsidR="00957FF8" w:rsidRPr="000359D5">
            <w:rPr>
              <w:rFonts w:ascii="Times New Roman" w:hAnsi="Times New Roman" w:cs="Times New Roman"/>
              <w:b/>
              <w:sz w:val="24"/>
              <w:szCs w:val="24"/>
            </w:rPr>
            <w:t>.......13</w:t>
          </w:r>
        </w:p>
        <w:p w:rsidR="00D33F5F" w:rsidRPr="000359D5" w:rsidRDefault="00D33F5F" w:rsidP="005D1794">
          <w:pPr>
            <w:widowControl w:val="0"/>
            <w:tabs>
              <w:tab w:val="left" w:pos="851"/>
            </w:tabs>
            <w:autoSpaceDE w:val="0"/>
            <w:autoSpaceDN w:val="0"/>
            <w:adjustRightInd w:val="0"/>
            <w:jc w:val="both"/>
            <w:rPr>
              <w:rFonts w:ascii="Times New Roman" w:hAnsi="Times New Roman" w:cs="Times New Roman"/>
              <w:b/>
              <w:sz w:val="24"/>
              <w:szCs w:val="24"/>
              <w:lang w:val="en-US"/>
            </w:rPr>
          </w:pPr>
          <w:r w:rsidRPr="000359D5">
            <w:rPr>
              <w:rFonts w:ascii="Times New Roman" w:hAnsi="Times New Roman" w:cs="Times New Roman"/>
              <w:b/>
              <w:sz w:val="24"/>
              <w:szCs w:val="24"/>
              <w:lang w:val="en-US"/>
            </w:rPr>
            <w:t>5.</w:t>
          </w:r>
          <w:r w:rsidRPr="000359D5">
            <w:rPr>
              <w:rFonts w:ascii="Times New Roman" w:hAnsi="Times New Roman" w:cs="Times New Roman"/>
              <w:b/>
              <w:sz w:val="24"/>
              <w:szCs w:val="24"/>
            </w:rPr>
            <w:t xml:space="preserve"> Условия и ред за оттегляне на финансовата помощ</w:t>
          </w:r>
          <w:r w:rsidR="00957FF8" w:rsidRPr="000359D5">
            <w:rPr>
              <w:rFonts w:ascii="Times New Roman" w:hAnsi="Times New Roman" w:cs="Times New Roman"/>
              <w:b/>
              <w:sz w:val="24"/>
              <w:szCs w:val="24"/>
            </w:rPr>
            <w:t>..................................................14</w:t>
          </w:r>
        </w:p>
        <w:p w:rsidR="00D33F5F" w:rsidRPr="000359D5" w:rsidRDefault="00D33F5F" w:rsidP="005D1794">
          <w:pPr>
            <w:widowControl w:val="0"/>
            <w:tabs>
              <w:tab w:val="left" w:pos="851"/>
            </w:tabs>
            <w:autoSpaceDE w:val="0"/>
            <w:autoSpaceDN w:val="0"/>
            <w:adjustRightInd w:val="0"/>
            <w:jc w:val="both"/>
            <w:rPr>
              <w:rFonts w:ascii="Times New Roman" w:hAnsi="Times New Roman" w:cs="Times New Roman"/>
              <w:b/>
              <w:sz w:val="24"/>
              <w:szCs w:val="24"/>
              <w:lang w:val="en-US"/>
            </w:rPr>
          </w:pPr>
          <w:r w:rsidRPr="000359D5">
            <w:rPr>
              <w:rFonts w:ascii="Times New Roman" w:hAnsi="Times New Roman" w:cs="Times New Roman"/>
              <w:b/>
              <w:sz w:val="24"/>
              <w:szCs w:val="24"/>
              <w:lang w:val="en-US"/>
            </w:rPr>
            <w:t>6.</w:t>
          </w:r>
          <w:r w:rsidRPr="000359D5">
            <w:rPr>
              <w:rFonts w:ascii="Times New Roman" w:hAnsi="Times New Roman" w:cs="Times New Roman"/>
              <w:b/>
              <w:sz w:val="24"/>
              <w:szCs w:val="24"/>
            </w:rPr>
            <w:t xml:space="preserve"> Информираност и публичност</w:t>
          </w:r>
          <w:r w:rsidR="00957FF8" w:rsidRPr="000359D5">
            <w:rPr>
              <w:rFonts w:ascii="Times New Roman" w:hAnsi="Times New Roman" w:cs="Times New Roman"/>
              <w:b/>
              <w:sz w:val="24"/>
              <w:szCs w:val="24"/>
            </w:rPr>
            <w:t>........................................................................................18</w:t>
          </w:r>
        </w:p>
        <w:p w:rsidR="003C0EF4" w:rsidRPr="000359D5" w:rsidRDefault="007D377C" w:rsidP="005D1794">
          <w:pPr>
            <w:pStyle w:val="11"/>
            <w:rPr>
              <w:rFonts w:eastAsiaTheme="minorEastAsia"/>
              <w:lang w:eastAsia="bg-BG"/>
            </w:rPr>
          </w:pPr>
          <w:hyperlink w:anchor="_Toc506888283" w:history="1">
            <w:r w:rsidR="00D33F5F" w:rsidRPr="000359D5">
              <w:rPr>
                <w:rStyle w:val="a3"/>
                <w:lang w:val="en-US"/>
              </w:rPr>
              <w:t>7</w:t>
            </w:r>
            <w:r w:rsidR="003C0EF4" w:rsidRPr="000359D5">
              <w:rPr>
                <w:rStyle w:val="a3"/>
              </w:rPr>
              <w:t>.</w:t>
            </w:r>
            <w:r w:rsidR="00D33F5F" w:rsidRPr="000359D5">
              <w:rPr>
                <w:rStyle w:val="a3"/>
                <w:rFonts w:eastAsia="Times New Roman"/>
                <w:lang w:eastAsia="bg-BG"/>
              </w:rPr>
              <w:t xml:space="preserve"> Приложения към Условия за изпълнение</w:t>
            </w:r>
            <w:r w:rsidR="003C0EF4" w:rsidRPr="000359D5">
              <w:rPr>
                <w:rStyle w:val="a3"/>
                <w:rFonts w:eastAsia="Times New Roman"/>
                <w:lang w:eastAsia="bg-BG"/>
              </w:rPr>
              <w:t>:</w:t>
            </w:r>
            <w:r w:rsidR="003C0EF4" w:rsidRPr="000359D5">
              <w:rPr>
                <w:webHidden/>
              </w:rPr>
              <w:tab/>
            </w:r>
            <w:r w:rsidR="00B60A5C" w:rsidRPr="000359D5">
              <w:rPr>
                <w:webHidden/>
              </w:rPr>
              <w:fldChar w:fldCharType="begin"/>
            </w:r>
            <w:r w:rsidR="003C0EF4" w:rsidRPr="000359D5">
              <w:rPr>
                <w:webHidden/>
              </w:rPr>
              <w:instrText xml:space="preserve"> PAGEREF _Toc506888283 \h </w:instrText>
            </w:r>
            <w:r w:rsidR="00B60A5C" w:rsidRPr="000359D5">
              <w:rPr>
                <w:webHidden/>
              </w:rPr>
            </w:r>
            <w:r w:rsidR="00B60A5C" w:rsidRPr="000359D5">
              <w:rPr>
                <w:webHidden/>
              </w:rPr>
              <w:fldChar w:fldCharType="separate"/>
            </w:r>
            <w:r w:rsidR="003C0EF4" w:rsidRPr="000359D5">
              <w:rPr>
                <w:webHidden/>
              </w:rPr>
              <w:t>1</w:t>
            </w:r>
            <w:r w:rsidR="00B60A5C" w:rsidRPr="000359D5">
              <w:rPr>
                <w:webHidden/>
              </w:rPr>
              <w:fldChar w:fldCharType="end"/>
            </w:r>
          </w:hyperlink>
          <w:r w:rsidR="00957FF8" w:rsidRPr="000359D5">
            <w:t>9</w:t>
          </w:r>
        </w:p>
        <w:p w:rsidR="002534EF" w:rsidRPr="002534EF" w:rsidRDefault="00B60A5C" w:rsidP="005D1794">
          <w:pPr>
            <w:rPr>
              <w:rFonts w:ascii="Times New Roman" w:hAnsi="Times New Roman" w:cs="Times New Roman"/>
              <w:b/>
              <w:bCs/>
              <w:noProof/>
              <w:sz w:val="24"/>
              <w:szCs w:val="24"/>
            </w:rPr>
          </w:pPr>
          <w:r>
            <w:rPr>
              <w:rFonts w:ascii="Times New Roman" w:hAnsi="Times New Roman" w:cs="Times New Roman"/>
              <w:sz w:val="24"/>
              <w:szCs w:val="24"/>
            </w:rPr>
            <w:fldChar w:fldCharType="end"/>
          </w:r>
        </w:p>
      </w:sdtContent>
    </w:sdt>
    <w:bookmarkStart w:id="0" w:name="_Toc500932665" w:displacedByCustomXml="prev"/>
    <w:p w:rsidR="002534EF" w:rsidRDefault="002534EF" w:rsidP="002534EF">
      <w:pPr>
        <w:rPr>
          <w:lang w:val="en-US"/>
        </w:rPr>
      </w:pPr>
    </w:p>
    <w:bookmarkEnd w:id="0"/>
    <w:p w:rsidR="002534EF" w:rsidRPr="002B0681" w:rsidRDefault="002534EF" w:rsidP="002534EF">
      <w:pPr>
        <w:pStyle w:val="1"/>
        <w:rPr>
          <w:color w:val="0070C0"/>
          <w:lang w:val="en-US"/>
        </w:rPr>
      </w:pPr>
    </w:p>
    <w:tbl>
      <w:tblPr>
        <w:tblStyle w:val="a4"/>
        <w:tblW w:w="0" w:type="auto"/>
        <w:tblLook w:val="04A0" w:firstRow="1" w:lastRow="0" w:firstColumn="1" w:lastColumn="0" w:noHBand="0" w:noVBand="1"/>
      </w:tblPr>
      <w:tblGrid>
        <w:gridCol w:w="9212"/>
      </w:tblGrid>
      <w:tr w:rsidR="002534EF" w:rsidRPr="00957FF8" w:rsidTr="002534EF">
        <w:tc>
          <w:tcPr>
            <w:tcW w:w="9212" w:type="dxa"/>
            <w:tcBorders>
              <w:top w:val="single" w:sz="4" w:space="0" w:color="auto"/>
              <w:left w:val="single" w:sz="4" w:space="0" w:color="auto"/>
              <w:bottom w:val="single" w:sz="4" w:space="0" w:color="auto"/>
              <w:right w:val="single" w:sz="4" w:space="0" w:color="auto"/>
            </w:tcBorders>
          </w:tcPr>
          <w:p w:rsidR="003D5C32" w:rsidRPr="00957FF8" w:rsidRDefault="002B0681" w:rsidP="005D1794">
            <w:pPr>
              <w:pStyle w:val="a5"/>
              <w:numPr>
                <w:ilvl w:val="0"/>
                <w:numId w:val="17"/>
              </w:numPr>
              <w:shd w:val="clear" w:color="auto" w:fill="FFFFFF"/>
              <w:spacing w:line="276" w:lineRule="auto"/>
              <w:jc w:val="both"/>
              <w:rPr>
                <w:rFonts w:ascii="Times New Roman" w:hAnsi="Times New Roman" w:cs="Times New Roman"/>
                <w:b/>
                <w:color w:val="222222"/>
                <w:sz w:val="24"/>
                <w:szCs w:val="24"/>
                <w:lang w:val="en-US"/>
              </w:rPr>
            </w:pPr>
            <w:r w:rsidRPr="00957FF8">
              <w:rPr>
                <w:rFonts w:ascii="Times New Roman" w:hAnsi="Times New Roman" w:cs="Times New Roman"/>
                <w:b/>
                <w:color w:val="222222"/>
                <w:sz w:val="24"/>
                <w:szCs w:val="24"/>
              </w:rPr>
              <w:t>Договор за предоставяне на безвъзмездна финансова помощ:</w:t>
            </w:r>
          </w:p>
          <w:p w:rsidR="002B0681" w:rsidRPr="00957FF8" w:rsidRDefault="002B0681" w:rsidP="002B0681">
            <w:pPr>
              <w:pStyle w:val="a5"/>
              <w:shd w:val="clear" w:color="auto" w:fill="FFFFFF"/>
              <w:spacing w:line="276" w:lineRule="auto"/>
              <w:ind w:left="765"/>
              <w:jc w:val="both"/>
              <w:rPr>
                <w:rFonts w:ascii="Times New Roman" w:hAnsi="Times New Roman" w:cs="Times New Roman"/>
                <w:b/>
                <w:color w:val="222222"/>
                <w:sz w:val="24"/>
                <w:szCs w:val="24"/>
                <w:lang w:val="en-US"/>
              </w:rPr>
            </w:pPr>
          </w:p>
          <w:p w:rsidR="009C5892" w:rsidRPr="00957FF8" w:rsidRDefault="009C5892" w:rsidP="007F31A8">
            <w:pPr>
              <w:jc w:val="both"/>
              <w:rPr>
                <w:rFonts w:ascii="Times New Roman" w:hAnsi="Times New Roman" w:cs="Times New Roman"/>
                <w:sz w:val="24"/>
                <w:szCs w:val="24"/>
              </w:rPr>
            </w:pPr>
            <w:r w:rsidRPr="00957FF8">
              <w:rPr>
                <w:rFonts w:ascii="Times New Roman" w:hAnsi="Times New Roman" w:cs="Times New Roman"/>
                <w:sz w:val="24"/>
                <w:szCs w:val="24"/>
              </w:rPr>
              <w:t>Преди издаване на заповед за одобрение на проектното предложение ДФЗ изисква от кандидата да представи в срок до 10 работни дни от уведомяването:</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1. свидетелство за съдимост от представляващия/те кандидата, издадено не по-късно от 6 месеца преди представянето му;</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2. декларация от представляващия/те кандидата съгласно приложение № 6 на Наредба № 22 от 2015 г. - Приложение № 1 от настоящите Условия;</w:t>
            </w: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3. декларация за нередности от представляващия/те кандидата съгласно Приложение № 2 от настоящите Условия;</w:t>
            </w: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4. </w:t>
            </w:r>
            <w:r w:rsidR="00EB55E8" w:rsidRPr="00EB55E8">
              <w:rPr>
                <w:rFonts w:ascii="Times New Roman" w:hAnsi="Times New Roman" w:cs="Times New Roman"/>
                <w:sz w:val="24"/>
                <w:szCs w:val="24"/>
              </w:rPr>
              <w:t>Декларация съгласие и информираност за обработване на лични данни</w:t>
            </w:r>
            <w:r w:rsidRPr="00EB55E8">
              <w:rPr>
                <w:rFonts w:ascii="Times New Roman" w:hAnsi="Times New Roman" w:cs="Times New Roman"/>
                <w:sz w:val="24"/>
                <w:szCs w:val="24"/>
                <w:highlight w:val="yellow"/>
              </w:rPr>
              <w:t xml:space="preserve"> </w:t>
            </w:r>
            <w:r w:rsidRPr="00EB55E8">
              <w:rPr>
                <w:rFonts w:ascii="Times New Roman" w:hAnsi="Times New Roman" w:cs="Times New Roman"/>
                <w:sz w:val="24"/>
                <w:szCs w:val="24"/>
              </w:rPr>
              <w:t>съгласно Приложение № 3 от настоящите Условия;</w:t>
            </w: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5</w:t>
            </w:r>
            <w:r w:rsidRPr="00957FF8">
              <w:rPr>
                <w:rFonts w:ascii="Times New Roman" w:hAnsi="Times New Roman" w:cs="Times New Roman"/>
                <w:sz w:val="24"/>
                <w:szCs w:val="24"/>
                <w:lang w:val="en-US"/>
              </w:rPr>
              <w:t xml:space="preserve">. </w:t>
            </w:r>
            <w:r w:rsidRPr="00957FF8">
              <w:rPr>
                <w:rFonts w:ascii="Times New Roman" w:hAnsi="Times New Roman" w:cs="Times New Roman"/>
                <w:sz w:val="24"/>
                <w:szCs w:val="24"/>
              </w:rPr>
              <w:t>формуляр за мониторинг съгласно Приложение № 4 от настоящите Условия;</w:t>
            </w: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6. декларация за опазване на околната среда, включително намаляване на вредни емисии и отпадъци съгласно Приложение № 7 от настоящите Условия;</w:t>
            </w: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7. декларация за съответствие с всички задължителни стандарти съгласно Приложение № 8 от настоящите Условия;</w:t>
            </w: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8. декларация за подобряване на безопасността и хигиенните условия на производство и труд съгласно Приложение № 9 от настоящите Условия.</w:t>
            </w: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p>
          <w:p w:rsidR="009C5892" w:rsidRPr="00957FF8" w:rsidRDefault="009C5892" w:rsidP="009C5892">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В срок от 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9C5892" w:rsidRPr="00957FF8" w:rsidRDefault="009C5892" w:rsidP="009C5892">
            <w:pPr>
              <w:ind w:firstLine="567"/>
              <w:jc w:val="both"/>
              <w:rPr>
                <w:rFonts w:ascii="Times New Roman" w:hAnsi="Times New Roman" w:cs="Times New Roman"/>
                <w:sz w:val="24"/>
                <w:szCs w:val="24"/>
                <w:lang w:val="en-US"/>
              </w:rPr>
            </w:pPr>
            <w:r w:rsidRPr="00957FF8">
              <w:rPr>
                <w:rFonts w:ascii="Times New Roman" w:hAnsi="Times New Roman" w:cs="Times New Roman"/>
                <w:sz w:val="24"/>
                <w:szCs w:val="24"/>
              </w:rPr>
              <w:t>Получателят на финансовата помощ изпълнява проекта в съответствие с нормативните и договорните правила при спазване на условията на ПРСР и одобрената стратегия за ВОМР.</w:t>
            </w:r>
          </w:p>
          <w:p w:rsidR="009C5892" w:rsidRPr="000F0EB1" w:rsidRDefault="009C5892" w:rsidP="009C5892">
            <w:pPr>
              <w:ind w:firstLine="567"/>
              <w:jc w:val="both"/>
              <w:rPr>
                <w:rFonts w:ascii="Times New Roman" w:hAnsi="Times New Roman" w:cs="Times New Roman"/>
                <w:sz w:val="24"/>
                <w:szCs w:val="24"/>
              </w:rPr>
            </w:pPr>
            <w:r w:rsidRPr="000F0EB1">
              <w:rPr>
                <w:rFonts w:ascii="Times New Roman" w:hAnsi="Times New Roman" w:cs="Times New Roman"/>
                <w:sz w:val="24"/>
                <w:szCs w:val="24"/>
              </w:rPr>
              <w:t>Максималният срок за изпълнение на проекти е 24 месеца, считано от датата на подписването на договора за предоставян</w:t>
            </w:r>
            <w:r w:rsidR="006D47C2" w:rsidRPr="000F0EB1">
              <w:rPr>
                <w:rFonts w:ascii="Times New Roman" w:hAnsi="Times New Roman" w:cs="Times New Roman"/>
                <w:sz w:val="24"/>
                <w:szCs w:val="24"/>
              </w:rPr>
              <w:t xml:space="preserve">е на финансова помощ с ДФЗ – РА, </w:t>
            </w:r>
            <w:r w:rsidRPr="000F0EB1">
              <w:rPr>
                <w:rFonts w:ascii="Times New Roman" w:hAnsi="Times New Roman" w:cs="Times New Roman"/>
                <w:bCs/>
                <w:sz w:val="24"/>
                <w:szCs w:val="24"/>
              </w:rPr>
              <w:t>а за проекти, включващи разходи за строително-монтажни работи – в срок до 36 месеца, считано от датата на подписването на административния договор</w:t>
            </w:r>
          </w:p>
          <w:p w:rsidR="009C5892" w:rsidRPr="000F0EB1" w:rsidRDefault="009C5892" w:rsidP="009C5892">
            <w:pPr>
              <w:ind w:firstLine="567"/>
              <w:jc w:val="both"/>
              <w:rPr>
                <w:rFonts w:ascii="Times New Roman" w:hAnsi="Times New Roman" w:cs="Times New Roman"/>
                <w:sz w:val="24"/>
                <w:szCs w:val="24"/>
              </w:rPr>
            </w:pPr>
            <w:r w:rsidRPr="000F0EB1">
              <w:rPr>
                <w:rFonts w:ascii="Times New Roman" w:hAnsi="Times New Roman" w:cs="Times New Roman"/>
                <w:sz w:val="24"/>
                <w:szCs w:val="24"/>
              </w:rPr>
              <w:t>Крайният срок за изпълнение на дейностите по проектите към стратегия за ВОМР, финансирани от ЕЗФРСР е до 30 юни 202</w:t>
            </w:r>
            <w:r w:rsidR="003D397B" w:rsidRPr="000F0EB1">
              <w:rPr>
                <w:rFonts w:ascii="Times New Roman" w:hAnsi="Times New Roman" w:cs="Times New Roman"/>
                <w:sz w:val="24"/>
                <w:szCs w:val="24"/>
              </w:rPr>
              <w:t>5</w:t>
            </w:r>
            <w:r w:rsidRPr="000F0EB1">
              <w:rPr>
                <w:rFonts w:ascii="Times New Roman" w:hAnsi="Times New Roman" w:cs="Times New Roman"/>
                <w:sz w:val="24"/>
                <w:szCs w:val="24"/>
              </w:rPr>
              <w:t xml:space="preserve"> г.</w:t>
            </w:r>
          </w:p>
          <w:p w:rsidR="009C5892" w:rsidRPr="00957FF8" w:rsidRDefault="009C5892" w:rsidP="009C5892">
            <w:pPr>
              <w:ind w:firstLine="567"/>
              <w:jc w:val="both"/>
              <w:rPr>
                <w:rFonts w:ascii="Times New Roman" w:hAnsi="Times New Roman" w:cs="Times New Roman"/>
                <w:sz w:val="24"/>
                <w:szCs w:val="24"/>
              </w:rPr>
            </w:pPr>
            <w:r w:rsidRPr="000F0EB1">
              <w:rPr>
                <w:rFonts w:ascii="Times New Roman" w:hAnsi="Times New Roman" w:cs="Times New Roman"/>
                <w:sz w:val="24"/>
                <w:szCs w:val="24"/>
              </w:rPr>
              <w:t>Получателят на финансова помощ е длъжен неза</w:t>
            </w:r>
            <w:r w:rsidRPr="00957FF8">
              <w:rPr>
                <w:rFonts w:ascii="Times New Roman" w:hAnsi="Times New Roman" w:cs="Times New Roman"/>
                <w:sz w:val="24"/>
                <w:szCs w:val="24"/>
              </w:rPr>
              <w:t xml:space="preserve">бавно да уведоми УО на ПРСР 2014 – 2020 г., ДФЗ и МИГ за всяко обстоятелство, което би могло да възпрепятства </w:t>
            </w:r>
            <w:r w:rsidRPr="00957FF8">
              <w:rPr>
                <w:rFonts w:ascii="Times New Roman" w:hAnsi="Times New Roman" w:cs="Times New Roman"/>
                <w:sz w:val="24"/>
                <w:szCs w:val="24"/>
              </w:rPr>
              <w:lastRenderedPageBreak/>
              <w:t>или забави осъществяването на дейностите по проекта.</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b/>
                <w:bCs/>
                <w:sz w:val="24"/>
                <w:szCs w:val="24"/>
              </w:rPr>
              <w:t xml:space="preserve">  </w:t>
            </w:r>
            <w:r w:rsidRPr="00957FF8">
              <w:rPr>
                <w:rFonts w:ascii="Times New Roman" w:hAnsi="Times New Roman" w:cs="Times New Roman"/>
                <w:sz w:val="24"/>
                <w:szCs w:val="24"/>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 В такъв случай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 Случаите са описани в Наредба № 22 от 14.12.2015 г. за прилагане на подмярка 19.2 "Прилагане на операции в рамките на стратегии за Водено от общностите местно развитие" и в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(наричана по-долу Наредба № 4 от 30.05.2018 г.).</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на помощта може да отстрани нередовностите по изпълнението на проекта съгласно Наредба № 22 от 2015 г.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 В случай на неизпълнение на задълженията в срок получателят на помощта дължи връщане на получената помощ ведно със законната лихва към нея.</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Страните по договора не отговарят за неизпълнение на задължение, ако то се дължи на непреодолима сила или извънредно обстоятелство. В тези случаи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на помощта е длъжен да предоставя на УО на ПРСР 2014 – 2020 г., и на ДФЗ всяка поискана информация за осъществяването на дейността по проекта.</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и на ДФЗ, Сметната </w:t>
            </w:r>
            <w:r w:rsidRPr="00957FF8">
              <w:rPr>
                <w:rFonts w:ascii="Times New Roman" w:hAnsi="Times New Roman" w:cs="Times New Roman"/>
                <w:sz w:val="24"/>
                <w:szCs w:val="24"/>
              </w:rPr>
              <w:lastRenderedPageBreak/>
              <w:t>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w:t>
            </w:r>
          </w:p>
          <w:p w:rsidR="009C5892" w:rsidRPr="00957FF8" w:rsidRDefault="009C5892" w:rsidP="009C5892">
            <w:pPr>
              <w:ind w:firstLine="567"/>
              <w:jc w:val="both"/>
              <w:rPr>
                <w:rFonts w:ascii="Times New Roman" w:hAnsi="Times New Roman" w:cs="Times New Roman"/>
                <w:sz w:val="24"/>
                <w:szCs w:val="24"/>
              </w:rPr>
            </w:pPr>
            <w:r w:rsidRPr="00957FF8">
              <w:rPr>
                <w:rFonts w:ascii="Times New Roman" w:hAnsi="Times New Roman" w:cs="Times New Roman"/>
                <w:sz w:val="24"/>
                <w:szCs w:val="24"/>
              </w:rPr>
              <w:t>Ако УО на ПРСР 2014 – 2020 г. или Европейската комисия направи оценяване и/или наблюдение на ПРСР 2014 – 2020 г.,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 и проверките.</w:t>
            </w:r>
          </w:p>
          <w:p w:rsidR="009C5892" w:rsidRPr="00957FF8" w:rsidRDefault="009C5892" w:rsidP="009C5892">
            <w:pPr>
              <w:spacing w:line="276" w:lineRule="auto"/>
              <w:jc w:val="both"/>
              <w:rPr>
                <w:rFonts w:ascii="Times New Roman" w:hAnsi="Times New Roman" w:cs="Times New Roman"/>
                <w:b/>
                <w:bCs/>
                <w:sz w:val="24"/>
                <w:szCs w:val="24"/>
              </w:rPr>
            </w:pPr>
            <w:r w:rsidRPr="00957FF8">
              <w:rPr>
                <w:rFonts w:ascii="Times New Roman" w:hAnsi="Times New Roman" w:cs="Times New Roman"/>
                <w:sz w:val="24"/>
                <w:szCs w:val="24"/>
              </w:rPr>
              <w:t>Длъжностните лица на УО на ПРСР 2014 – 2020 г. и на ДФЗ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9C5892" w:rsidRPr="00957FF8" w:rsidRDefault="009C5892" w:rsidP="009054BC">
            <w:pPr>
              <w:spacing w:line="276" w:lineRule="auto"/>
              <w:jc w:val="both"/>
              <w:rPr>
                <w:rFonts w:ascii="Times New Roman" w:hAnsi="Times New Roman" w:cs="Times New Roman"/>
                <w:b/>
                <w:bCs/>
                <w:sz w:val="24"/>
                <w:szCs w:val="24"/>
              </w:rPr>
            </w:pPr>
          </w:p>
          <w:p w:rsidR="0018312C" w:rsidRDefault="0018312C" w:rsidP="005D1794">
            <w:pPr>
              <w:pStyle w:val="a5"/>
              <w:widowControl w:val="0"/>
              <w:numPr>
                <w:ilvl w:val="0"/>
                <w:numId w:val="17"/>
              </w:numPr>
              <w:tabs>
                <w:tab w:val="left" w:pos="851"/>
              </w:tabs>
              <w:autoSpaceDE w:val="0"/>
              <w:autoSpaceDN w:val="0"/>
              <w:adjustRightInd w:val="0"/>
              <w:jc w:val="both"/>
              <w:rPr>
                <w:rFonts w:ascii="Times New Roman" w:hAnsi="Times New Roman" w:cs="Times New Roman"/>
                <w:b/>
                <w:sz w:val="24"/>
                <w:szCs w:val="24"/>
              </w:rPr>
            </w:pPr>
            <w:r w:rsidRPr="00957FF8">
              <w:rPr>
                <w:rFonts w:ascii="Times New Roman" w:hAnsi="Times New Roman" w:cs="Times New Roman"/>
                <w:b/>
                <w:sz w:val="24"/>
                <w:szCs w:val="24"/>
              </w:rPr>
              <w:t xml:space="preserve">Условия, отнасящи се до осъществяване на дейностите по проектите на получателите на финансова помощ от ЕЗФРСР </w:t>
            </w:r>
          </w:p>
          <w:p w:rsidR="000359D5" w:rsidRPr="00957FF8" w:rsidRDefault="000359D5" w:rsidP="000359D5">
            <w:pPr>
              <w:pStyle w:val="a5"/>
              <w:widowControl w:val="0"/>
              <w:tabs>
                <w:tab w:val="left" w:pos="851"/>
              </w:tabs>
              <w:autoSpaceDE w:val="0"/>
              <w:autoSpaceDN w:val="0"/>
              <w:adjustRightInd w:val="0"/>
              <w:jc w:val="both"/>
              <w:rPr>
                <w:rFonts w:ascii="Times New Roman" w:hAnsi="Times New Roman" w:cs="Times New Roman"/>
                <w:b/>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на финансова помощ е длъжен да:</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1. съхранява всички документи, свързани с подпомаганите дейности;</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2. използва закупените/подобрените/реконструирани/изградени въз основа на одобрения проект активи по предназначение;</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4. не преотстъпва ползването на активите – предмет на подпомагането, под каквато и да е форма;</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5. не променя местоположението на подпомогнатата дейност;</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6. не преустановява подпомогнатата дейност.</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Изискването по т. 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Изискването по т. 4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Изискването по т. 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Получателят е длъжен да изпълнява посочените задължения за срок от: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lastRenderedPageBreak/>
              <w:t>1.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2. десет години от датата на сключване на договора, когато е предоставена държавна или минимална помощ;</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3. пет години след извършване на окончателното плащане за всички останали случаи.</w:t>
            </w:r>
          </w:p>
          <w:p w:rsidR="0018312C" w:rsidRPr="00957FF8" w:rsidRDefault="0018312C" w:rsidP="0018312C">
            <w:pPr>
              <w:ind w:firstLine="567"/>
              <w:jc w:val="both"/>
              <w:rPr>
                <w:rFonts w:ascii="Times New Roman" w:hAnsi="Times New Roman" w:cs="Times New Roman"/>
                <w:sz w:val="24"/>
                <w:szCs w:val="24"/>
              </w:rPr>
            </w:pPr>
          </w:p>
          <w:p w:rsidR="0018312C" w:rsidRPr="004C08BC" w:rsidRDefault="0018312C" w:rsidP="0018312C">
            <w:pPr>
              <w:ind w:firstLine="567"/>
              <w:jc w:val="both"/>
              <w:rPr>
                <w:rFonts w:ascii="Times New Roman" w:hAnsi="Times New Roman" w:cs="Times New Roman"/>
                <w:sz w:val="24"/>
                <w:szCs w:val="24"/>
                <w:lang w:val="en-US"/>
              </w:rPr>
            </w:pPr>
            <w:r w:rsidRPr="00957FF8">
              <w:rPr>
                <w:rFonts w:ascii="Times New Roman" w:hAnsi="Times New Roman" w:cs="Times New Roman"/>
                <w:sz w:val="24"/>
                <w:szCs w:val="24"/>
              </w:rPr>
              <w:t>Одобреният проект за финансиране от ЕЗФРСР се изпълнява в срок до двадесет и четири месеца</w:t>
            </w:r>
            <w:r w:rsidR="004C08BC" w:rsidRPr="004C08BC">
              <w:rPr>
                <w:rFonts w:ascii="Times New Roman" w:hAnsi="Times New Roman" w:cs="Times New Roman"/>
                <w:sz w:val="24"/>
                <w:szCs w:val="24"/>
              </w:rPr>
              <w:t>, а за проекти включващи разходи за строително-монтажни работи и за създаване на трайни насаждения, в срок до 36 месеца, считано от датата на подписването на договора за пред</w:t>
            </w:r>
            <w:r w:rsidR="004C08BC">
              <w:rPr>
                <w:rFonts w:ascii="Times New Roman" w:hAnsi="Times New Roman" w:cs="Times New Roman"/>
                <w:sz w:val="24"/>
                <w:szCs w:val="24"/>
              </w:rPr>
              <w:t>оставяне на финансовата  помощ</w:t>
            </w:r>
            <w:r w:rsidR="004C08BC">
              <w:rPr>
                <w:rFonts w:ascii="Times New Roman" w:hAnsi="Times New Roman" w:cs="Times New Roman"/>
                <w:sz w:val="24"/>
                <w:szCs w:val="24"/>
                <w:lang w:val="en-US"/>
              </w:rPr>
              <w:t>.</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 за които кандидатът представя заверено копие от документацията от проведената проце</w:t>
            </w:r>
            <w:bookmarkStart w:id="1" w:name="_GoBack"/>
            <w:bookmarkEnd w:id="1"/>
            <w:r w:rsidRPr="00957FF8">
              <w:rPr>
                <w:rFonts w:ascii="Times New Roman" w:hAnsi="Times New Roman" w:cs="Times New Roman"/>
                <w:sz w:val="24"/>
                <w:szCs w:val="24"/>
              </w:rPr>
              <w:t xml:space="preserve">дура по Закона за обществените поръчки.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заявлението, е до 4 месеца от датата на сключване на договора. Получателят уведомява ДФЗ за публикуване на решението за откриване на процедура за възлагане на обществена поръчка в срок до 7 работни дни от датата на публикуването.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lastRenderedPageBreak/>
              <w:t xml:space="preserve">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b/>
                <w:bCs/>
                <w:sz w:val="24"/>
                <w:szCs w:val="24"/>
              </w:rPr>
              <w:t xml:space="preserve">  </w:t>
            </w:r>
            <w:r w:rsidRPr="00957FF8">
              <w:rPr>
                <w:rFonts w:ascii="Times New Roman" w:hAnsi="Times New Roman" w:cs="Times New Roman"/>
                <w:sz w:val="24"/>
                <w:szCs w:val="24"/>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Не се допуска изменение и/или допълнение на договора за финансова помощ, което:</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1. засяга основната цел на дейността и/или променя предназначението на инвестицията съгласно одобрения проект;</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2. води до несъответствие с целите, дейностите, изискванията и критериите за оценка;</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3. води до увеличение на стойността на договорената финансова помощ.</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Получателят на финансова помощ може да поиска удължаване на срока за изпълнение на проекта, но не по-късно от 30 юни 202</w:t>
            </w:r>
            <w:r w:rsidR="00DD027F">
              <w:rPr>
                <w:rFonts w:ascii="Times New Roman" w:hAnsi="Times New Roman" w:cs="Times New Roman"/>
                <w:sz w:val="24"/>
                <w:szCs w:val="24"/>
              </w:rPr>
              <w:t>5</w:t>
            </w:r>
            <w:r w:rsidRPr="00957FF8">
              <w:rPr>
                <w:rFonts w:ascii="Times New Roman" w:hAnsi="Times New Roman" w:cs="Times New Roman"/>
                <w:sz w:val="24"/>
                <w:szCs w:val="24"/>
              </w:rPr>
              <w:t xml:space="preserve"> г.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В срок до един месец от подаването на заявлението за промяна ДФЗ приема или отхвърля исканата промяна. </w:t>
            </w:r>
          </w:p>
          <w:p w:rsidR="0018312C" w:rsidRPr="00957FF8" w:rsidRDefault="0018312C" w:rsidP="0018312C">
            <w:pPr>
              <w:pStyle w:val="a5"/>
              <w:tabs>
                <w:tab w:val="left" w:pos="851"/>
              </w:tabs>
              <w:spacing w:after="160" w:line="259" w:lineRule="auto"/>
              <w:ind w:left="0" w:firstLine="567"/>
              <w:jc w:val="both"/>
              <w:rPr>
                <w:rFonts w:ascii="Times New Roman" w:hAnsi="Times New Roman" w:cs="Times New Roman"/>
                <w:sz w:val="24"/>
                <w:szCs w:val="24"/>
              </w:rPr>
            </w:pPr>
            <w:r w:rsidRPr="00957FF8">
              <w:rPr>
                <w:rFonts w:ascii="Times New Roman" w:hAnsi="Times New Roman" w:cs="Times New Roman"/>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18312C" w:rsidRPr="00957FF8" w:rsidRDefault="0018312C" w:rsidP="0018312C">
            <w:pPr>
              <w:pStyle w:val="a5"/>
              <w:tabs>
                <w:tab w:val="left" w:pos="851"/>
              </w:tabs>
              <w:spacing w:after="160" w:line="259" w:lineRule="auto"/>
              <w:ind w:left="0" w:firstLine="567"/>
              <w:jc w:val="both"/>
              <w:rPr>
                <w:rFonts w:ascii="Times New Roman" w:hAnsi="Times New Roman" w:cs="Times New Roman"/>
                <w:sz w:val="24"/>
                <w:szCs w:val="24"/>
              </w:rPr>
            </w:pPr>
          </w:p>
          <w:p w:rsidR="0018312C" w:rsidRPr="00957FF8" w:rsidRDefault="0018312C" w:rsidP="0018312C">
            <w:pPr>
              <w:pStyle w:val="a5"/>
              <w:tabs>
                <w:tab w:val="left" w:pos="851"/>
              </w:tabs>
              <w:spacing w:after="160" w:line="259" w:lineRule="auto"/>
              <w:ind w:left="0" w:firstLine="567"/>
              <w:jc w:val="both"/>
              <w:rPr>
                <w:rFonts w:ascii="Times New Roman" w:hAnsi="Times New Roman" w:cs="Times New Roman"/>
                <w:sz w:val="24"/>
                <w:szCs w:val="24"/>
              </w:rPr>
            </w:pPr>
          </w:p>
          <w:p w:rsidR="0018312C" w:rsidRPr="00957FF8" w:rsidRDefault="0018312C" w:rsidP="005D1794">
            <w:pPr>
              <w:pStyle w:val="a5"/>
              <w:widowControl w:val="0"/>
              <w:numPr>
                <w:ilvl w:val="0"/>
                <w:numId w:val="17"/>
              </w:numPr>
              <w:tabs>
                <w:tab w:val="left" w:pos="851"/>
              </w:tabs>
              <w:autoSpaceDE w:val="0"/>
              <w:autoSpaceDN w:val="0"/>
              <w:adjustRightInd w:val="0"/>
              <w:jc w:val="both"/>
              <w:rPr>
                <w:rFonts w:ascii="Times New Roman" w:hAnsi="Times New Roman" w:cs="Times New Roman"/>
                <w:b/>
                <w:sz w:val="24"/>
                <w:szCs w:val="24"/>
              </w:rPr>
            </w:pPr>
            <w:r w:rsidRPr="00957FF8">
              <w:rPr>
                <w:rFonts w:ascii="Times New Roman" w:hAnsi="Times New Roman" w:cs="Times New Roman"/>
                <w:b/>
                <w:sz w:val="24"/>
                <w:szCs w:val="24"/>
              </w:rPr>
              <w:t>Изплащане на безвъзмездната финансова помощ</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Изплащането на безвъзмездната финансова помощ може да се извърши</w:t>
            </w:r>
            <w:r w:rsidR="00B701CA">
              <w:rPr>
                <w:rFonts w:ascii="Times New Roman" w:hAnsi="Times New Roman" w:cs="Times New Roman"/>
                <w:sz w:val="24"/>
                <w:szCs w:val="24"/>
              </w:rPr>
              <w:t xml:space="preserve"> посредством авансови, междинни</w:t>
            </w:r>
            <w:r w:rsidR="00B701CA">
              <w:rPr>
                <w:rFonts w:ascii="Times New Roman" w:hAnsi="Times New Roman" w:cs="Times New Roman"/>
                <w:sz w:val="24"/>
                <w:szCs w:val="24"/>
                <w:lang w:val="en-US"/>
              </w:rPr>
              <w:t xml:space="preserve"> </w:t>
            </w:r>
            <w:r w:rsidR="00B701CA">
              <w:rPr>
                <w:rFonts w:ascii="Times New Roman" w:hAnsi="Times New Roman" w:cs="Times New Roman"/>
                <w:sz w:val="24"/>
                <w:szCs w:val="24"/>
              </w:rPr>
              <w:t xml:space="preserve">и окончателни </w:t>
            </w:r>
            <w:r w:rsidRPr="00957FF8">
              <w:rPr>
                <w:rFonts w:ascii="Times New Roman" w:hAnsi="Times New Roman" w:cs="Times New Roman"/>
                <w:sz w:val="24"/>
                <w:szCs w:val="24"/>
              </w:rPr>
              <w:t>плащания.</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b/>
                <w:bCs/>
                <w:sz w:val="24"/>
                <w:szCs w:val="24"/>
              </w:rPr>
              <w:t xml:space="preserve">  </w:t>
            </w:r>
            <w:r w:rsidRPr="00957FF8">
              <w:rPr>
                <w:rFonts w:ascii="Times New Roman" w:hAnsi="Times New Roman" w:cs="Times New Roman"/>
                <w:sz w:val="24"/>
                <w:szCs w:val="24"/>
              </w:rPr>
              <w:t xml:space="preserve">Искането за плащане се подава от бенефициента чрез ИСУН по образец, под </w:t>
            </w:r>
            <w:r w:rsidRPr="00957FF8">
              <w:rPr>
                <w:rFonts w:ascii="Times New Roman" w:hAnsi="Times New Roman" w:cs="Times New Roman"/>
                <w:sz w:val="24"/>
                <w:szCs w:val="24"/>
              </w:rPr>
              <w:lastRenderedPageBreak/>
              <w:t>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p>
          <w:p w:rsidR="0018312C" w:rsidRPr="00957FF8" w:rsidRDefault="005D1794" w:rsidP="0018312C">
            <w:pPr>
              <w:ind w:firstLine="567"/>
              <w:jc w:val="both"/>
              <w:rPr>
                <w:rFonts w:ascii="Times New Roman" w:hAnsi="Times New Roman" w:cs="Times New Roman"/>
                <w:b/>
                <w:sz w:val="24"/>
                <w:szCs w:val="24"/>
              </w:rPr>
            </w:pPr>
            <w:r w:rsidRPr="00957FF8">
              <w:rPr>
                <w:rFonts w:ascii="Times New Roman" w:hAnsi="Times New Roman" w:cs="Times New Roman"/>
                <w:b/>
                <w:sz w:val="24"/>
                <w:szCs w:val="24"/>
              </w:rPr>
              <w:t>3.</w:t>
            </w:r>
            <w:r w:rsidR="0018312C" w:rsidRPr="00957FF8">
              <w:rPr>
                <w:rFonts w:ascii="Times New Roman" w:hAnsi="Times New Roman" w:cs="Times New Roman"/>
                <w:b/>
                <w:sz w:val="24"/>
                <w:szCs w:val="24"/>
              </w:rPr>
              <w:t>1</w:t>
            </w:r>
            <w:r w:rsidR="002B0681" w:rsidRPr="00957FF8">
              <w:rPr>
                <w:rFonts w:ascii="Times New Roman" w:hAnsi="Times New Roman" w:cs="Times New Roman"/>
                <w:b/>
                <w:sz w:val="24"/>
                <w:szCs w:val="24"/>
                <w:lang w:val="en-US"/>
              </w:rPr>
              <w:t>.</w:t>
            </w:r>
            <w:r w:rsidR="0018312C" w:rsidRPr="00957FF8">
              <w:rPr>
                <w:rFonts w:ascii="Times New Roman" w:hAnsi="Times New Roman" w:cs="Times New Roman"/>
                <w:b/>
                <w:sz w:val="24"/>
                <w:szCs w:val="24"/>
              </w:rPr>
              <w:t xml:space="preserve"> Авансово плащане</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Искане за авансово плащане се подава по образец съгласно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към него се прилагат документи, описани в Приложение № 5 към настоящите Условия.</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Искането за авансово плащане се подава от бенефициента в срок не по-рано от 10 дни от сключване на административния договор, съответно издаване на заповедта за предоставяне на безвъзмездна финансова помощ, и не по-късно от шест месеца преди изтичане на крайния срок за изпълнение на одобрения проект, посочен в административния договор или заповедта за предоставяне на финансова помощ</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b/>
                <w:bCs/>
                <w:sz w:val="24"/>
                <w:szCs w:val="24"/>
              </w:rPr>
              <w:t xml:space="preserve">  </w:t>
            </w:r>
            <w:r w:rsidRPr="00957FF8">
              <w:rPr>
                <w:rFonts w:ascii="Times New Roman" w:hAnsi="Times New Roman" w:cs="Times New Roman"/>
                <w:sz w:val="24"/>
                <w:szCs w:val="24"/>
              </w:rPr>
              <w:t>Авансово плащане е допустимо, ако надвишава левовата равностойност на 2000 евро и е в размер до 50 на сто от публичната помощ, свързана с инвестицията. За</w:t>
            </w:r>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периода</w:t>
            </w:r>
            <w:proofErr w:type="spellEnd"/>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на</w:t>
            </w:r>
            <w:proofErr w:type="spellEnd"/>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изпълнение</w:t>
            </w:r>
            <w:proofErr w:type="spellEnd"/>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на</w:t>
            </w:r>
            <w:proofErr w:type="spellEnd"/>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одобрен</w:t>
            </w:r>
            <w:proofErr w:type="spellEnd"/>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проект</w:t>
            </w:r>
            <w:proofErr w:type="spellEnd"/>
            <w:r w:rsidRPr="00957FF8">
              <w:rPr>
                <w:rFonts w:ascii="Times New Roman" w:hAnsi="Times New Roman" w:cs="Times New Roman"/>
                <w:sz w:val="24"/>
                <w:szCs w:val="24"/>
                <w:lang w:val="en-US"/>
              </w:rPr>
              <w:t xml:space="preserve"> e</w:t>
            </w:r>
            <w:r w:rsidRPr="00957FF8">
              <w:rPr>
                <w:rFonts w:ascii="Times New Roman" w:hAnsi="Times New Roman" w:cs="Times New Roman"/>
                <w:sz w:val="24"/>
                <w:szCs w:val="24"/>
              </w:rPr>
              <w:t xml:space="preserve"> д</w:t>
            </w:r>
            <w:proofErr w:type="spellStart"/>
            <w:r w:rsidRPr="00957FF8">
              <w:rPr>
                <w:rFonts w:ascii="Times New Roman" w:hAnsi="Times New Roman" w:cs="Times New Roman"/>
                <w:sz w:val="24"/>
                <w:szCs w:val="24"/>
                <w:lang w:val="en-US"/>
              </w:rPr>
              <w:t>опустимо</w:t>
            </w:r>
            <w:proofErr w:type="spellEnd"/>
            <w:r w:rsidRPr="00957FF8">
              <w:rPr>
                <w:rFonts w:ascii="Times New Roman" w:hAnsi="Times New Roman" w:cs="Times New Roman"/>
                <w:sz w:val="24"/>
                <w:szCs w:val="24"/>
              </w:rPr>
              <w:t xml:space="preserve"> изплащането на едно</w:t>
            </w:r>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авансов</w:t>
            </w:r>
            <w:proofErr w:type="spellEnd"/>
            <w:r w:rsidRPr="00957FF8">
              <w:rPr>
                <w:rFonts w:ascii="Times New Roman" w:hAnsi="Times New Roman" w:cs="Times New Roman"/>
                <w:sz w:val="24"/>
                <w:szCs w:val="24"/>
              </w:rPr>
              <w:t>о</w:t>
            </w:r>
            <w:r w:rsidRPr="00957FF8">
              <w:rPr>
                <w:rFonts w:ascii="Times New Roman" w:hAnsi="Times New Roman" w:cs="Times New Roman"/>
                <w:sz w:val="24"/>
                <w:szCs w:val="24"/>
                <w:lang w:val="en-US"/>
              </w:rPr>
              <w:t xml:space="preserve"> </w:t>
            </w:r>
            <w:proofErr w:type="spellStart"/>
            <w:r w:rsidRPr="00957FF8">
              <w:rPr>
                <w:rFonts w:ascii="Times New Roman" w:hAnsi="Times New Roman" w:cs="Times New Roman"/>
                <w:sz w:val="24"/>
                <w:szCs w:val="24"/>
                <w:lang w:val="en-US"/>
              </w:rPr>
              <w:t>плащан</w:t>
            </w:r>
            <w:proofErr w:type="spellEnd"/>
            <w:r w:rsidRPr="00957FF8">
              <w:rPr>
                <w:rFonts w:ascii="Times New Roman" w:hAnsi="Times New Roman" w:cs="Times New Roman"/>
                <w:sz w:val="24"/>
                <w:szCs w:val="24"/>
              </w:rPr>
              <w:t>е.</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Бенефициентът представя обезпечение по авансово плащане под формата на безусловна и неотменима банкова гаранция в полза на ДФЗ – РА, по образец, утвърден от изпълнителния директор на ДФЗ – РА, и публикуван на електронната страница на ДФЗ – РА – Приложение № 6. Обезпечението на банковата гаранция е в размер на 100 процента от размера на авансовото плащане.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Срокът на валидност на банковата гаранция или записа на заповед трябва да бъде равен на срока за изпълнение на одобрения проект, посочен в административния договор или в заповедта за предоставяне на финансова помощ, удължен с 6 месеца.</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Обезпечението се освобождава изцяло от ДФЗ – РА, до четиринадесет дни от датата, на която ДФЗ – РА, установи,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 </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Когато размерът на подлежащата на изплащане финансова помощ не надхвърля размера на авансовото плащане, обезпечението може да бъде заменено с друго, покриващо остатъка на авансовото плащане.</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В срок до седем дни от подаване на искането за авансово плащане бенефициентът представя оригиналния екземпляр на приложеното обезпечение в областната дирекция на Държавен фонд "Земеделие" по чл. 44 от Устройствения правилник на Държавен фонд "Земеделие". Когато бенефициентът не е спазил това задължение или когато към искането за плащане не е приложил </w:t>
            </w:r>
            <w:r w:rsidR="009726BA">
              <w:rPr>
                <w:rFonts w:ascii="Times New Roman" w:hAnsi="Times New Roman" w:cs="Times New Roman"/>
                <w:sz w:val="24"/>
                <w:szCs w:val="24"/>
              </w:rPr>
              <w:t xml:space="preserve">изскуемите </w:t>
            </w:r>
            <w:r w:rsidRPr="00957FF8">
              <w:rPr>
                <w:rFonts w:ascii="Times New Roman" w:hAnsi="Times New Roman" w:cs="Times New Roman"/>
                <w:sz w:val="24"/>
                <w:szCs w:val="24"/>
              </w:rPr>
              <w:t xml:space="preserve">документите, ДФЗ – РА, му изпраща уведомление, като предоставя срок от 15 дни за отстраняване на констатираните </w:t>
            </w:r>
            <w:r w:rsidRPr="00957FF8">
              <w:rPr>
                <w:rFonts w:ascii="Times New Roman" w:hAnsi="Times New Roman" w:cs="Times New Roman"/>
                <w:sz w:val="24"/>
                <w:szCs w:val="24"/>
              </w:rPr>
              <w:lastRenderedPageBreak/>
              <w:t>пропуски или несъответствия.</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 Разплащателна агенция, извършва авансово плащане в срок до 30 дни от датата на подаване на искане за авансово плащане, когато са изпълнени всички изисквания за извършване на плащането, посочени в Наредба № 4 от 2018 г.</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В срока от 30 дни ДФЗ – РА, отказва да извърши изцяло или частично авансовото плащане, когато:</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1. не са изпълнени условията или сроковете по горе</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2. размерът на представеното обезпечение не покрива пълния размер на заявеното авансово плащане;</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3. бенефициентът не отстрани пропуските или несъответствията по прлиложените документи</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4. по отношение на бенефициента е налице основание за отстраняване по чл. 25, ал. 2 от ЗУСЕСИФ.</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Документите за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rsidR="0018312C" w:rsidRPr="00957FF8" w:rsidRDefault="0018312C" w:rsidP="0018312C">
            <w:pPr>
              <w:ind w:firstLine="567"/>
              <w:jc w:val="both"/>
              <w:rPr>
                <w:rFonts w:ascii="Times New Roman" w:hAnsi="Times New Roman" w:cs="Times New Roman"/>
                <w:b/>
                <w:sz w:val="24"/>
                <w:szCs w:val="24"/>
              </w:rPr>
            </w:pPr>
          </w:p>
          <w:p w:rsidR="0018312C" w:rsidRPr="00957FF8" w:rsidRDefault="005D1794" w:rsidP="0018312C">
            <w:pPr>
              <w:ind w:firstLine="567"/>
              <w:jc w:val="both"/>
              <w:rPr>
                <w:rFonts w:ascii="Times New Roman" w:hAnsi="Times New Roman" w:cs="Times New Roman"/>
                <w:b/>
                <w:sz w:val="24"/>
                <w:szCs w:val="24"/>
              </w:rPr>
            </w:pPr>
            <w:r w:rsidRPr="00957FF8">
              <w:rPr>
                <w:rFonts w:ascii="Times New Roman" w:hAnsi="Times New Roman" w:cs="Times New Roman"/>
                <w:b/>
                <w:sz w:val="24"/>
                <w:szCs w:val="24"/>
              </w:rPr>
              <w:t>3.</w:t>
            </w:r>
            <w:r w:rsidR="0018312C" w:rsidRPr="00957FF8">
              <w:rPr>
                <w:rFonts w:ascii="Times New Roman" w:hAnsi="Times New Roman" w:cs="Times New Roman"/>
                <w:b/>
                <w:sz w:val="24"/>
                <w:szCs w:val="24"/>
              </w:rPr>
              <w:t>2</w:t>
            </w:r>
            <w:r w:rsidR="002B0681" w:rsidRPr="00957FF8">
              <w:rPr>
                <w:rFonts w:ascii="Times New Roman" w:hAnsi="Times New Roman" w:cs="Times New Roman"/>
                <w:b/>
                <w:sz w:val="24"/>
                <w:szCs w:val="24"/>
                <w:lang w:val="en-US"/>
              </w:rPr>
              <w:t>.</w:t>
            </w:r>
            <w:r w:rsidR="0018312C" w:rsidRPr="00957FF8">
              <w:rPr>
                <w:rFonts w:ascii="Times New Roman" w:hAnsi="Times New Roman" w:cs="Times New Roman"/>
                <w:b/>
                <w:sz w:val="24"/>
                <w:szCs w:val="24"/>
              </w:rPr>
              <w:t xml:space="preserve"> Междинно и окончателно плащане</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Бенефициентът може да подаде искане за междинно плащане, когато е предвидено в административния договор или в заповедта за предоставяне на финансова помощ.</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Междинно плащане е допустимо за одобрена обособена част от проекта и не повече от един път за периода на изпълнение на проекта.</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Бенефициентът подава искане за междинно плащане по образец и прилага документите съгласно Наредба № 4 от 30.05.2018 г.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Документите за междинно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посочен в административния договор или в заповедта за предоставяне на финансова помощ.</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Общият размер на междинното плащане е както следва:</w:t>
            </w:r>
          </w:p>
          <w:p w:rsidR="0018312C" w:rsidRPr="00957FF8" w:rsidRDefault="0018312C" w:rsidP="0018312C">
            <w:pPr>
              <w:pStyle w:val="a5"/>
              <w:widowControl w:val="0"/>
              <w:numPr>
                <w:ilvl w:val="0"/>
                <w:numId w:val="14"/>
              </w:numPr>
              <w:tabs>
                <w:tab w:val="left" w:pos="851"/>
              </w:tabs>
              <w:autoSpaceDE w:val="0"/>
              <w:autoSpaceDN w:val="0"/>
              <w:adjustRightInd w:val="0"/>
              <w:ind w:left="0" w:firstLine="567"/>
              <w:jc w:val="both"/>
              <w:rPr>
                <w:rFonts w:ascii="Times New Roman" w:hAnsi="Times New Roman" w:cs="Times New Roman"/>
                <w:sz w:val="24"/>
                <w:szCs w:val="24"/>
              </w:rPr>
            </w:pPr>
            <w:r w:rsidRPr="00957FF8">
              <w:rPr>
                <w:rFonts w:ascii="Times New Roman" w:hAnsi="Times New Roman" w:cs="Times New Roman"/>
                <w:sz w:val="24"/>
                <w:szCs w:val="24"/>
              </w:rPr>
              <w:t>Когато проектът не предвижда авансово плащане междинното плащане е в размер до 80% от  публичната помощ, свързана с инвестицията;</w:t>
            </w:r>
          </w:p>
          <w:p w:rsidR="0018312C" w:rsidRPr="00957FF8" w:rsidRDefault="0018312C" w:rsidP="0018312C">
            <w:pPr>
              <w:tabs>
                <w:tab w:val="left" w:pos="851"/>
              </w:tabs>
              <w:ind w:firstLine="567"/>
              <w:jc w:val="both"/>
              <w:rPr>
                <w:rFonts w:ascii="Times New Roman" w:hAnsi="Times New Roman" w:cs="Times New Roman"/>
                <w:sz w:val="24"/>
                <w:szCs w:val="24"/>
              </w:rPr>
            </w:pPr>
            <w:r w:rsidRPr="00957FF8">
              <w:rPr>
                <w:rFonts w:ascii="Times New Roman" w:hAnsi="Times New Roman" w:cs="Times New Roman"/>
                <w:sz w:val="24"/>
                <w:szCs w:val="24"/>
              </w:rPr>
              <w:lastRenderedPageBreak/>
              <w:t>- Когато по проекта има предвидено авансово плащане, размерът на междинното плащане и извършеното авансово плащане не може да превишава 80% от  публичната помощ, свързана с инвестицията.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Бенефициентът подава искане за окончателно плащане по образеца на Наредба № 4 от 30.05.2018 г. след изпълнение на одобрения проект в срока, посочен в административния договор или в заповедта за предоставяне на финансова помощ. Прилагат се документите съгласно Наредба № 4 от 30.05.2018 г. </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Документите за окончателно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 Разплащателна агенция, извършва проверка за съответствие на представените документи с изискуемите по-горе документи за окончателно и междинно плащане съгласно тези условия в срок до седем дни от подаване на искане за междинно или окончателно плащане.</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Когато при проверката се установи, че към искането за плащане не са приложени изискуеми документи, ДФЗ – РА, изпраща на бенефициента уведомление и му предоставя срок от 15 дни за отстраняване на констатираните пропуски.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Разплащателната агенция разглежда искането за плащане въз основа на приложените към него документи, включително и допълнително представените в срок.</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В срок до 90 дни от подаване на искането за плащане ДФЗ – РА, проверява заявените данни и други обстоятелства, свързани с искането за плащане, за установяване спазване на критериите за допустимост и другите задължения на бенефициента, посочени в Условията за кандидатстване и Условията за изпълнение на проекти, както и в административния договор или в заповедта за предоставяне на финансова помощ.</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 Разплащателна агенция, може да извърши проверка на място за установяване на фактическото съответствие с представените документи и заявените данни, за което изпраща уведомление чрез ИСУН до бенефициента за датата и часа на предстоящата проверка, освен в случаите по чл. 25 от Регламент за изпълнение № 809/2014.</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Проверката се извършва в присъствието на бенефициента или на упълномощен негов представител или в присъствието на свидетел, ако бенефициентът или упълномощен от него представител не се е явил на датата и часа посочени в изпратеното уведомление.</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lastRenderedPageBreak/>
              <w:t xml:space="preserve">След приключване на проверката на място се съставя доклад за проверка, който се подписва от длъжностното лице, което го е изготвило, и от бенефициента или от упълномощен негов представител, който има право да напише в протокола обяснения и възражения по направените констатации.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Докладът се съставя в два еднообразни екземпляра, като един се предоставя на бенефициента или на упълномощения негов представител. Когато на проверката не се е явил бенефициентът или упълномощено от него лице, докладът се подписва от длъжностното лице, което го е изготвило, вписват се данни за присъстващия свидетел и се изпраща на бенефициента.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В срок до 15 дни от предоставянето, съответно от изпращането на доклада за проверка на място, бенефициентът или негов упълномощен представител може да направи възражения и да даде обяснения по направените констатации.</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В посочения срок от 90 дни от подаване на искането за плащане ДФЗ – РА, проверява заявените данни и други обстоятелства и определя размера на допустимите разходи и изплаща или мотивирано отказва изплащането на междинното или окончателното плащане.</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Държавен фонд "Земеделие" – Разплащателна агенция, изпраща уведомление до бенефициента, когато при извършване на проверките се установи някое от следните обстоятелства: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1. нередовност или непълнота на представен документ или неяснота на данните в него;</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2. необходимост от представяне на допълнителни данни и/или документи извън непредставените документи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Бенефициентът е длъжен да представи изисканите по-горе документи и/или данни в срок до 15 дни от изпращане на уведомлението.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 Разплащателна агенция, разглежда само документи и/или данни, които са изискани.</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Срокът от 90 дни от подаване на искането за плащане спира да тече, когато:</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1. Държавен фонд "Земеделие" – Разплащателна агенция, е изискала от бенефициента документи и/или данни – за периода от изпращане на уведомлението до представяне на изисканите документи и/или данни, а когато такива не са представени – до изтичане на указания в уведомлението срок;</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2. при проверките са събрани данни и/или са представени документи, от които възниква съмнение за нередност, което налага извършването на допълнителни проверки от специализирано структурно звено към ДФЗ – РА – за период не по-дълъг от три месеца;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3. в резултат на допълнителните проверки възникнат съмнения за измама и бъде сезирана прокуратурата от ДФЗ – РА, или е образувано досъдебно производство, от чийто изход зависи произнасянето по искането за плащане – за периода до постановяване на влязъл в сила акт на компетентния орган;</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4. при проверките се установи необходимост от изискване от ДФЗ – РА, на становище или информация от други органи или институции – за периода от изпращане на искането за предоставяне на становище или информация до датата на получаването им от ДФЗ – РА;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5. се провежда контролна проверка въз основа на Приложение I, т. 4 от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 (ОВ, L 255/18 от 28 август 2014 г.).</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В тези случаи ДФЗ – РА, изпраща уведомление до бенефициента за спирането на срока по разглеждане на исканията за междинно и окончателно плащане, като посочва мотивите за това.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Бенефициентът може по всяко време да оттегли изцяло или частично искането за авансово, междинно или окончателно плащане и приложените към него документи. Оттеглянето поставя бенефициента в положението, в което се е намирал преди подаването на искането за плащане, на приложените към него документи или на част от тях.</w:t>
            </w:r>
          </w:p>
          <w:p w:rsidR="0018312C" w:rsidRPr="00957FF8" w:rsidRDefault="0018312C" w:rsidP="0018312C">
            <w:pPr>
              <w:ind w:firstLine="567"/>
              <w:jc w:val="both"/>
              <w:rPr>
                <w:rFonts w:ascii="Times New Roman" w:hAnsi="Times New Roman" w:cs="Times New Roman"/>
                <w:sz w:val="24"/>
                <w:szCs w:val="24"/>
                <w:lang w:val="en-US"/>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Не се разрешава оттегляне на документите или частта от тях, засегната от неспазването, когато е налице някое от следните обстоятелства: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1. бенефициентът е уведомен от ДФЗ – РА, за констатирано неспазване на критерий за допустимост, ангажимент или друго задължение на бенефициента в приложените към искането за плащане документи или в допълнително представените такива;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2. бенефициентът е уведомен от ДФЗ – РА, за намерението й да извърши </w:t>
            </w:r>
            <w:r w:rsidRPr="00957FF8">
              <w:rPr>
                <w:rFonts w:ascii="Times New Roman" w:hAnsi="Times New Roman" w:cs="Times New Roman"/>
                <w:sz w:val="24"/>
                <w:szCs w:val="24"/>
              </w:rPr>
              <w:lastRenderedPageBreak/>
              <w:t>проверка/посещение на място;</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3. при проверката/посещението на място се установи неспазване на критерий за допустимост, ангажимент или друго задължение на бенефициента.</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tabs>
                <w:tab w:val="left" w:pos="567"/>
              </w:tabs>
              <w:ind w:firstLine="567"/>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 Разплащателна агенция, изпраща уведомление до бенефициента за допустимостта на направеното искане за оттегляне.</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При оттегляне на искане за плащане, което не попада в</w:t>
            </w:r>
            <w:r w:rsidRPr="00957FF8">
              <w:rPr>
                <w:rFonts w:ascii="Times New Roman" w:hAnsi="Times New Roman" w:cs="Times New Roman"/>
                <w:sz w:val="24"/>
                <w:szCs w:val="24"/>
                <w:lang w:val="en-US"/>
              </w:rPr>
              <w:t xml:space="preserve"> </w:t>
            </w:r>
            <w:r w:rsidRPr="00957FF8">
              <w:rPr>
                <w:rFonts w:ascii="Times New Roman" w:hAnsi="Times New Roman" w:cs="Times New Roman"/>
                <w:sz w:val="24"/>
                <w:szCs w:val="24"/>
              </w:rPr>
              <w:t>горната хипотеза, бенефициентът има право да подаде ново искане за плащане до изтичане на крайния срок за това, посочен в административния договор, респ. в заповедта за предоставяне на финансова помощ.</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Исканията за авансово, междинно или окончателно плащане и приложените към тях документи могат да бъдат коригирани по всяко време след подаването им в случай на очевидни грешки, признати от ДФЗ – РА, въз основа на цялостна преценка на конкретния случай и при условие, че бенефициентът е действал добросъвестно. </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 Разплащателна агенция, може да признае очевидни грешки само ако те могат да бъдат непосредствено установени при техническа проверка на информацията, съдържаща се в съответните документи, за което уведомява бенефициента с акта, с който се произнася по искането за плащане. Извън тези случай, не се допуска коригиране на искане за плащане и приложените към него документи.</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Всички срокове за разглеждане на искания за плащане започват да текат за ДФЗ – РА, от датата на изпращането им от бенефициента в ИСУН.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Всички срокове, посочени в уведомленията и решенията на ДФЗ – РА, започват да текат от датата на изпращането им в ИСУН.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Предвидените срокове за разглеждане на исканията за плащане спират да текат от изпращане на уведомление за представяне на изискуеми документи и информация до датата на представянето им, съответно до изтичане на срока за представянето им, както и в други случаи, предвидени в Наредба № 4 от 30.05.2018 г.</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b/>
                <w:bCs/>
                <w:sz w:val="24"/>
                <w:szCs w:val="24"/>
              </w:rPr>
              <w:t xml:space="preserve"> </w:t>
            </w:r>
            <w:r w:rsidRPr="00957FF8">
              <w:rPr>
                <w:rFonts w:ascii="Times New Roman" w:hAnsi="Times New Roman" w:cs="Times New Roman"/>
                <w:sz w:val="24"/>
                <w:szCs w:val="24"/>
              </w:rPr>
              <w:t xml:space="preserve">Документите, приложени към исканията за плащане, както и тези, представени от бенефициентите в резултат на допълнително искане от ДФЗ – РА, се представят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w:t>
            </w:r>
            <w:r w:rsidRPr="00957FF8">
              <w:rPr>
                <w:rFonts w:ascii="Times New Roman" w:hAnsi="Times New Roman" w:cs="Times New Roman"/>
                <w:sz w:val="24"/>
                <w:szCs w:val="24"/>
              </w:rPr>
              <w:lastRenderedPageBreak/>
              <w:t>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5D1794">
            <w:pPr>
              <w:pStyle w:val="a5"/>
              <w:widowControl w:val="0"/>
              <w:numPr>
                <w:ilvl w:val="0"/>
                <w:numId w:val="17"/>
              </w:numPr>
              <w:autoSpaceDE w:val="0"/>
              <w:autoSpaceDN w:val="0"/>
              <w:adjustRightInd w:val="0"/>
              <w:jc w:val="both"/>
              <w:rPr>
                <w:rFonts w:ascii="Times New Roman" w:hAnsi="Times New Roman" w:cs="Times New Roman"/>
                <w:b/>
                <w:sz w:val="24"/>
                <w:szCs w:val="24"/>
              </w:rPr>
            </w:pPr>
            <w:r w:rsidRPr="00957FF8">
              <w:rPr>
                <w:rFonts w:ascii="Times New Roman" w:hAnsi="Times New Roman" w:cs="Times New Roman"/>
                <w:b/>
                <w:sz w:val="24"/>
                <w:szCs w:val="24"/>
              </w:rPr>
              <w:t>Условия и ред за намаляване и отказ за изплащане на финансовата помощ</w:t>
            </w: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Държавен фонд "Земеделие" – Разплащателна агенция, отказва изцяло безвъзмездната финансова помощ и оттегля вече изплатената, когато:</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1. бенефициентът не подаде заявка за окончателно или второ плащане в крайния срок, посочен в административния договор или в заповедта за предоставяне на финансова помощ;</w:t>
            </w:r>
          </w:p>
          <w:p w:rsidR="0018312C" w:rsidRPr="00957FF8" w:rsidRDefault="0018312C" w:rsidP="0018312C">
            <w:pPr>
              <w:ind w:firstLine="567"/>
              <w:jc w:val="both"/>
              <w:rPr>
                <w:rFonts w:ascii="Times New Roman" w:hAnsi="Times New Roman" w:cs="Times New Roman"/>
                <w:sz w:val="24"/>
                <w:szCs w:val="24"/>
                <w:lang w:val="en-US"/>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2. в случаите по чл. 39, ал. 4 от ЗУСЕСИФ, когато това е приложимо за съответната мярка или подмярка по чл. 9б, т. 2 от ЗПЗП;</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3. бенефициентът не стартира изпълнението на одобрения проект в определения в административния договор срок, ако това е изрично посочено в административния договор.</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В тези случаи по бенефициентът няма право да подава искане за плащане.</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r w:rsidRPr="00957FF8">
              <w:rPr>
                <w:rFonts w:ascii="Times New Roman" w:hAnsi="Times New Roman" w:cs="Times New Roman"/>
                <w:sz w:val="24"/>
                <w:szCs w:val="24"/>
              </w:rPr>
              <w:t xml:space="preserve"> Държавен фонд "Земеделие" – Разплащателна агенция отказва изцяло или частично изплащането на финансовата помощ съобразно случаите описани в чл. 26 и чл. 27 от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5D1794">
            <w:pPr>
              <w:pStyle w:val="a5"/>
              <w:widowControl w:val="0"/>
              <w:numPr>
                <w:ilvl w:val="0"/>
                <w:numId w:val="17"/>
              </w:numPr>
              <w:tabs>
                <w:tab w:val="left" w:pos="851"/>
              </w:tabs>
              <w:autoSpaceDE w:val="0"/>
              <w:autoSpaceDN w:val="0"/>
              <w:adjustRightInd w:val="0"/>
              <w:ind w:left="0" w:firstLine="567"/>
              <w:jc w:val="both"/>
              <w:rPr>
                <w:rFonts w:ascii="Times New Roman" w:hAnsi="Times New Roman" w:cs="Times New Roman"/>
                <w:b/>
                <w:sz w:val="24"/>
                <w:szCs w:val="24"/>
              </w:rPr>
            </w:pPr>
            <w:r w:rsidRPr="00957FF8">
              <w:rPr>
                <w:rFonts w:ascii="Times New Roman" w:hAnsi="Times New Roman" w:cs="Times New Roman"/>
                <w:b/>
                <w:sz w:val="24"/>
                <w:szCs w:val="24"/>
              </w:rPr>
              <w:t>Условия и ред за оттегляне на финансовата помощ</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В срока, посочен в документите по чл. 26, ал. 1 от ЗУСЕСИФ и в административния договор, бенефициентът е длъжен:</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1. да използва подпомаганите активи и да изпълнява подпомаганите дейности съгласно определеното им с бизнес плана и/или одобрения проект предназначение и капацитет;</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2. под каквато и да е форма да не преотстъпва ползването и да не извършва разпоредителни сделки с активи, предмет на подпомагане, както и да не допуска принудително изпълнение върху такива активи, с изключение на случаите, когато това </w:t>
            </w:r>
            <w:r w:rsidRPr="00957FF8">
              <w:rPr>
                <w:rFonts w:ascii="Times New Roman" w:hAnsi="Times New Roman" w:cs="Times New Roman"/>
                <w:sz w:val="24"/>
                <w:szCs w:val="24"/>
              </w:rPr>
              <w:lastRenderedPageBreak/>
              <w:t>се изисква по закон;</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3. да не променя местоположението на подпомаганата дейност извън територията на страната;</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4. да поддържа съответствие с всички критерии за подбор, по които проектното предложение е било одобрено и за които това е предвидено в Условията за кандидатстване и Условията за изпълнение на проектите по чл. 26 от ЗУСЕСИФ или в административния договор;</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5. да не преустановява подпомогнатата дейност поради други причини освен изменящите се сезонни условия за производство и/или предоставяне на услуги и при положение, че тези обстоятелства са изрично посочени в представения от бенефициента формуляр за кандидатстване или приложените към него документи;</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6. да спазва изискванията, във връзка с които бенефициентът е получил по-висок интензитет на финансова помощ, посочени в Условията за кандидатстване и Условията за изпълнение на проектите по чл. 26 от ЗУСЕСИФ или в административния договор;</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7. да води всички финансови операции, свързани с подпомаганите дейности, в отделни счетоводни аналитични сметки или в отделна счетоводна система и да могат да се проследят въз основа на ефективно функционираща одитна пътека;</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8. да съхранява всички документи, свързани с изпълнение на одобрения проект и с извършване на подпомаганата дейност;</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9. да изпълнява представения към формуляра за кандидатстване бизнес план, когато това е приложимо и както е предвидено в Условията за кандидатстване и Условията за изпълнение на проектите по чл. 26 от ЗУСЕСИФ или в административния договор;</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10. да спазва всички критерии за допустимост и да изпълнява ангажиментите или другите задължения, произтичащи от предоставеното подпомагане, посочени в Условията за кандидатстване и Условията за изпълнение на проектите по чл. 26 от ЗУСЕСИФ или в административния договор, респ. в заповедта за предоставяне на финансова помощ.</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Контрол за изпълнение на изискванията в условията по административния договор, документите по чл. 26 от ЗУСЕСИФ, процедурите за възлагане на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РА, </w:t>
            </w:r>
            <w:r w:rsidRPr="00957FF8">
              <w:rPr>
                <w:rFonts w:ascii="Times New Roman" w:hAnsi="Times New Roman" w:cs="Times New Roman"/>
                <w:sz w:val="24"/>
                <w:szCs w:val="24"/>
              </w:rPr>
              <w:lastRenderedPageBreak/>
              <w:t>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Изпълнителната агенция "Сертификационен одит на средствата от европейските земеделски фондове".</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На контрол подлежат бенефициентите, както и трети лица, свързани с изпълнение на одобрения проект.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Държавен фонд "Земеделие" – Разплащателна агенция, оттегля цялата или част от предоставената финансова помощ и изисква възстановяване, когато: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1. бенефициентът е представил декларация и/или документ с невярно съдържание, неистински или преправени такива независимо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2. се установи, че бенефициентът изкуствено е създал условията, необходими за получаване на помощта, с цел осъществяване на предимство или облага в противоречие с целите на подмярката или с приложимото в областта национално или европейско законодателство;</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3. бенефициентът е получил допълнителна публична финансова помощ за активите и/или дейностите, предмет на подпомагане;</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4. се установи, че за периода от подаване на формуляра за кандидатстване до извършване на окончателното плащане е било налице обстоятелство, посочено в Условията за кандидатстване и Условията за изпълнение на проектите по чл. 26 от ЗУСЕСИФ във връзка с изискването по чл. 25, ал. 2 от ЗУСЕСИФ;</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5. бенефициентът не представи изискваните от ДФЗ – РА, данни, документи и/или информация, необходими за извършване на контрол относно спазване на критериите за допустимост и изпълнението на ангажиментите и другите задължения, посочени в документите по чл. 26 от ЗУСЕСИФ или в административния договор, съответно в заповедта за предоставяне на финансова помощ;</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6. бенефициентът не допуска представители на ДФЗ – РА, или на други, </w:t>
            </w:r>
            <w:r w:rsidRPr="00957FF8">
              <w:rPr>
                <w:rFonts w:ascii="Times New Roman" w:hAnsi="Times New Roman" w:cs="Times New Roman"/>
                <w:sz w:val="24"/>
                <w:szCs w:val="24"/>
              </w:rPr>
              <w:lastRenderedPageBreak/>
              <w:t>определени с нормативен акт органи, включително на институции на Европейския съюз, за осъществяването на контрола по т. 5, не осигури достъп до подпомаганите активи или не оказва друго необходимо съдействие, включително при извършване на контрол по отношение на своите съконтрагенти по изпълнение на одобрения проект;</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7. бенефициентът не спазва критерий за допустимост, ангажименти или друго задължение, посочени в Наредба № 4 от 30.05.2018 г., документите по чл. 26 от ЗУСЕСИФ или административния договор, респ. заповедта за предоставяне на финансова помощ.</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За установяване дължимостта на подлежаща на възстановяване сума поради нарушение, което представлява основание за налагане на финансова корекция, посочено в чл. 70 от ЗУСЕСИФ, се издава решение за налагане на финансова корекция по реда на чл. 73 от ЗУСЕСИФ от:</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1. изпълнителния директор на ДФЗ – РА, или лице, на което е делегирано правомощие по чл. 20а, ал. 4 от ЗПЗП;</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2. ръководителя на Управляващия орган на ПРСР 2014 – 2020 г. за мярка 20 "Техническа помощ".</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За установяване дължимостта на подлежащата на възстановяване сума поради неспазване на критерий за допустимост, ангажимент или друго задължение на бенефициента, извън случаите по предходния абзац, изпълнителният директор на ДФЗ – РА, или лице, на което е делегирано правомощие по чл. 20а, ал. 4 от ЗПЗП, издава акт по чл. 166, ал. 2 от Данъчно-осигурителния процесуален кодекс.</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Когато едно и също действие или бездействие на бенефициента е довело до неспазване на повече от един ангажимент или друго задължение, произтичащо от предоставеното подпомагане, ДФЗ – РА, оттегля финансовата помощ в размер, съответстващ на най-големия размер на подлежащата на възстановяване финансова помощ, предвиден за съответното неспазване.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Когато повече от едно действие или бездействие на бенефициента е довело до неспазване на няколко ангажимента или други задължения, произтичащи от предоставеното подпомагане, ДФЗ – РА, оттегля финансовата помощ в размер, съответстващ на сбора от сумите на подлежащата на възстановяване финансова помощ, предвидени за всяко едно от неспазванията.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Държавен фонд "Земеделие" – Разплащателна агенция, налага административни санкции на бенефициента, произтичащи от установеното неспазване, само в случаите, </w:t>
            </w:r>
            <w:r w:rsidRPr="00957FF8">
              <w:rPr>
                <w:rFonts w:ascii="Times New Roman" w:hAnsi="Times New Roman" w:cs="Times New Roman"/>
                <w:sz w:val="24"/>
                <w:szCs w:val="24"/>
              </w:rPr>
              <w:lastRenderedPageBreak/>
              <w:t xml:space="preserve">посочени в законодателството на ЕС или в националното законодателство. </w:t>
            </w:r>
          </w:p>
          <w:p w:rsidR="0018312C" w:rsidRPr="00957FF8" w:rsidRDefault="0018312C" w:rsidP="0018312C">
            <w:pPr>
              <w:ind w:firstLine="480"/>
              <w:jc w:val="both"/>
              <w:rPr>
                <w:rFonts w:ascii="Times New Roman" w:hAnsi="Times New Roman" w:cs="Times New Roman"/>
                <w:b/>
                <w:bCs/>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Бенефициентът се задължава да възстанови всички неправомерно изплатени или подлежащи на възстановяване средства, включително такива, които са обект на финансова корекция или са установени в резултат на проверки от страна на сертифициращи или одитиращи органи. 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Във всички случаи, когато е налице валидно обезпечение на подлежащото на възстановяване авансово плащане, ДФЗ – РА, пристъпва незабавно към упражняване на права по учредените в полза на ДФЗ – РА, обезпечения.</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 В случай че вземането не се удовлетвори по реда описан по-горе, ДФЗ – РА, прихваща от всяко следващо плащане по проекта.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Разплащателната агенция може да прихване неправомерно изплатените и подлежащите на възстановяване суми, включително начислените върху тях лихви, от последващи плащания на средства, дължими към бенефициента, включително от други действащи договори, сключени между страните или произтичащи само от подадени заявления за финансово подпомагане от бенефициента по други схеми, мерки или програми, прилагани от ДФЗ – РА.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Невъзстановените чрез способите описани по-горе вземания представляват публични държавни вземания и подлежат на принудително събиране по реда на Данъчно-осигурителния процесуален кодекс чрез Националната агенция за приходите.</w:t>
            </w:r>
          </w:p>
          <w:p w:rsidR="0018312C" w:rsidRPr="00957FF8" w:rsidRDefault="0018312C" w:rsidP="0018312C">
            <w:pPr>
              <w:ind w:firstLine="480"/>
              <w:jc w:val="both"/>
              <w:rPr>
                <w:rFonts w:ascii="Times New Roman" w:hAnsi="Times New Roman" w:cs="Times New Roman"/>
                <w:b/>
                <w:bCs/>
                <w:sz w:val="24"/>
                <w:szCs w:val="24"/>
              </w:rPr>
            </w:pPr>
            <w:r w:rsidRPr="00957FF8">
              <w:rPr>
                <w:rFonts w:ascii="Times New Roman" w:hAnsi="Times New Roman" w:cs="Times New Roman"/>
                <w:b/>
                <w:bCs/>
                <w:sz w:val="24"/>
                <w:szCs w:val="24"/>
              </w:rPr>
              <w:t xml:space="preserve"> </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Бенефициентът не отговаря за неспазване на критерий за допустимост или неизпълнение на ангажимент или други задължения, когато то се дължи на непреодолима сила или извънредни обстоятелства по смисъла на чл. 2, параграф 2 от Регламент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За настъпването на което и да е обстоятелство бенефициентът или упълномощено лице е длъжен да уведоми РА като изпрати на уведомление чрез ИСУН, а при невъзможност писмено в срок до 15 дни от датата, на която е в състояние да направи това, като представя доказателства за настъпване на обстоятелството, включително когато е приложимо – издадени от компетентен орган. При неизпълнение на </w:t>
            </w:r>
            <w:r w:rsidRPr="00957FF8">
              <w:rPr>
                <w:rFonts w:ascii="Times New Roman" w:hAnsi="Times New Roman" w:cs="Times New Roman"/>
                <w:sz w:val="24"/>
                <w:szCs w:val="24"/>
              </w:rPr>
              <w:lastRenderedPageBreak/>
              <w:t>задължението в този срок, бенефициентът не може да се позовава на непреодолима сила или извънредно обстоятелство.</w:t>
            </w:r>
          </w:p>
          <w:p w:rsidR="0018312C" w:rsidRPr="00957FF8" w:rsidRDefault="0018312C" w:rsidP="0018312C">
            <w:pPr>
              <w:pStyle w:val="a5"/>
              <w:tabs>
                <w:tab w:val="left" w:pos="851"/>
              </w:tabs>
              <w:ind w:left="567"/>
              <w:jc w:val="both"/>
              <w:rPr>
                <w:rFonts w:ascii="Times New Roman" w:hAnsi="Times New Roman" w:cs="Times New Roman"/>
                <w:b/>
                <w:sz w:val="24"/>
                <w:szCs w:val="24"/>
              </w:rPr>
            </w:pPr>
          </w:p>
          <w:p w:rsidR="0018312C" w:rsidRPr="00957FF8" w:rsidRDefault="0018312C" w:rsidP="0018312C">
            <w:pPr>
              <w:ind w:firstLine="567"/>
              <w:jc w:val="both"/>
              <w:rPr>
                <w:rFonts w:ascii="Times New Roman" w:hAnsi="Times New Roman" w:cs="Times New Roman"/>
                <w:sz w:val="24"/>
                <w:szCs w:val="24"/>
              </w:rPr>
            </w:pPr>
          </w:p>
          <w:p w:rsidR="0018312C" w:rsidRPr="00957FF8" w:rsidRDefault="0018312C" w:rsidP="005D1794">
            <w:pPr>
              <w:pStyle w:val="a5"/>
              <w:widowControl w:val="0"/>
              <w:numPr>
                <w:ilvl w:val="0"/>
                <w:numId w:val="17"/>
              </w:numPr>
              <w:tabs>
                <w:tab w:val="left" w:pos="851"/>
              </w:tabs>
              <w:autoSpaceDE w:val="0"/>
              <w:autoSpaceDN w:val="0"/>
              <w:adjustRightInd w:val="0"/>
              <w:ind w:left="0" w:firstLine="567"/>
              <w:jc w:val="both"/>
              <w:rPr>
                <w:rFonts w:ascii="Times New Roman" w:hAnsi="Times New Roman" w:cs="Times New Roman"/>
                <w:b/>
                <w:sz w:val="24"/>
                <w:szCs w:val="24"/>
              </w:rPr>
            </w:pPr>
            <w:r w:rsidRPr="00957FF8">
              <w:rPr>
                <w:rFonts w:ascii="Times New Roman" w:hAnsi="Times New Roman" w:cs="Times New Roman"/>
                <w:b/>
                <w:sz w:val="24"/>
                <w:szCs w:val="24"/>
              </w:rPr>
              <w:t>Информираност и публичност</w:t>
            </w:r>
          </w:p>
          <w:p w:rsidR="0018312C" w:rsidRPr="00957FF8" w:rsidRDefault="0018312C" w:rsidP="0018312C">
            <w:pPr>
              <w:pStyle w:val="a5"/>
              <w:tabs>
                <w:tab w:val="left" w:pos="851"/>
              </w:tabs>
              <w:ind w:left="567"/>
              <w:jc w:val="both"/>
              <w:rPr>
                <w:rFonts w:ascii="Times New Roman" w:hAnsi="Times New Roman" w:cs="Times New Roman"/>
                <w:b/>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Получателите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18312C" w:rsidRPr="00957FF8" w:rsidRDefault="0018312C" w:rsidP="0018312C">
            <w:pPr>
              <w:ind w:firstLine="480"/>
              <w:jc w:val="both"/>
              <w:rPr>
                <w:rFonts w:ascii="Times New Roman" w:hAnsi="Times New Roman" w:cs="Times New Roman"/>
                <w:sz w:val="24"/>
                <w:szCs w:val="24"/>
              </w:rPr>
            </w:pPr>
          </w:p>
          <w:p w:rsidR="0018312C" w:rsidRPr="00957FF8" w:rsidRDefault="0018312C" w:rsidP="0018312C">
            <w:pPr>
              <w:ind w:firstLine="480"/>
              <w:jc w:val="both"/>
              <w:rPr>
                <w:rFonts w:ascii="Times New Roman" w:hAnsi="Times New Roman" w:cs="Times New Roman"/>
                <w:sz w:val="24"/>
                <w:szCs w:val="24"/>
              </w:rPr>
            </w:pPr>
            <w:r w:rsidRPr="00957FF8">
              <w:rPr>
                <w:rFonts w:ascii="Times New Roman" w:hAnsi="Times New Roman" w:cs="Times New Roman"/>
                <w:sz w:val="24"/>
                <w:szCs w:val="24"/>
              </w:rPr>
              <w:t xml:space="preserve">Настоящите условия </w:t>
            </w:r>
            <w:r w:rsidR="00F1576D">
              <w:rPr>
                <w:rFonts w:ascii="Times New Roman" w:hAnsi="Times New Roman" w:cs="Times New Roman"/>
                <w:sz w:val="24"/>
                <w:szCs w:val="24"/>
              </w:rPr>
              <w:t>с</w:t>
            </w:r>
            <w:r w:rsidRPr="00957FF8">
              <w:rPr>
                <w:rFonts w:ascii="Times New Roman" w:hAnsi="Times New Roman" w:cs="Times New Roman"/>
                <w:sz w:val="24"/>
                <w:szCs w:val="24"/>
              </w:rPr>
              <w:t>а в пълно съответствие с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(наричана по-долу Наредба № 4 от 30.05.2018 г.).</w:t>
            </w:r>
          </w:p>
          <w:p w:rsidR="0018312C" w:rsidRPr="00957FF8" w:rsidRDefault="0018312C" w:rsidP="0018312C">
            <w:pPr>
              <w:ind w:firstLine="480"/>
              <w:jc w:val="both"/>
              <w:rPr>
                <w:rFonts w:ascii="Times New Roman" w:hAnsi="Times New Roman" w:cs="Times New Roman"/>
                <w:sz w:val="24"/>
                <w:szCs w:val="24"/>
              </w:rPr>
            </w:pPr>
          </w:p>
          <w:p w:rsidR="009054BC" w:rsidRPr="00957FF8" w:rsidRDefault="0018312C" w:rsidP="00656C9E">
            <w:pPr>
              <w:ind w:firstLine="480"/>
              <w:jc w:val="both"/>
              <w:rPr>
                <w:rFonts w:ascii="Times New Roman" w:hAnsi="Times New Roman" w:cs="Times New Roman"/>
                <w:sz w:val="24"/>
                <w:szCs w:val="24"/>
                <w:lang w:val="en-US"/>
              </w:rPr>
            </w:pPr>
            <w:r w:rsidRPr="00957FF8">
              <w:rPr>
                <w:rFonts w:ascii="Times New Roman" w:hAnsi="Times New Roman" w:cs="Times New Roman"/>
                <w:sz w:val="24"/>
                <w:szCs w:val="24"/>
              </w:rPr>
              <w:t>Промени в условията за изпълнение могат да бъдат извършвани от УО на ПРСР и от ДФЗ –РА.</w:t>
            </w:r>
          </w:p>
          <w:p w:rsidR="009054BC" w:rsidRPr="00957FF8" w:rsidRDefault="009054BC" w:rsidP="009054BC">
            <w:pPr>
              <w:spacing w:line="276" w:lineRule="auto"/>
              <w:jc w:val="both"/>
              <w:rPr>
                <w:rFonts w:ascii="Times New Roman" w:hAnsi="Times New Roman" w:cs="Times New Roman"/>
                <w:bCs/>
                <w:sz w:val="24"/>
                <w:szCs w:val="24"/>
              </w:rPr>
            </w:pPr>
          </w:p>
          <w:p w:rsidR="002534EF" w:rsidRPr="00957FF8" w:rsidRDefault="002B0681" w:rsidP="005D1794">
            <w:pPr>
              <w:pStyle w:val="a5"/>
              <w:numPr>
                <w:ilvl w:val="0"/>
                <w:numId w:val="17"/>
              </w:numPr>
              <w:tabs>
                <w:tab w:val="left" w:pos="270"/>
              </w:tabs>
              <w:spacing w:line="276" w:lineRule="auto"/>
              <w:jc w:val="both"/>
              <w:rPr>
                <w:rFonts w:ascii="Times New Roman" w:hAnsi="Times New Roman" w:cs="Times New Roman"/>
                <w:b/>
                <w:bCs/>
                <w:sz w:val="24"/>
                <w:szCs w:val="24"/>
              </w:rPr>
            </w:pPr>
            <w:r w:rsidRPr="00957FF8">
              <w:rPr>
                <w:rFonts w:ascii="Times New Roman" w:hAnsi="Times New Roman" w:cs="Times New Roman"/>
                <w:b/>
                <w:bCs/>
                <w:sz w:val="24"/>
                <w:szCs w:val="24"/>
              </w:rPr>
              <w:t>Приложения към Условия за изпълнение:</w:t>
            </w:r>
          </w:p>
          <w:p w:rsidR="0018312C" w:rsidRPr="00957FF8" w:rsidRDefault="0018312C" w:rsidP="0018312C">
            <w:pPr>
              <w:tabs>
                <w:tab w:val="left" w:pos="270"/>
              </w:tabs>
              <w:spacing w:line="276" w:lineRule="auto"/>
              <w:jc w:val="both"/>
              <w:rPr>
                <w:rFonts w:ascii="Times New Roman" w:hAnsi="Times New Roman" w:cs="Times New Roman"/>
                <w:bCs/>
                <w:sz w:val="24"/>
                <w:szCs w:val="24"/>
              </w:rPr>
            </w:pP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 1</w:t>
            </w:r>
            <w:r w:rsidRPr="00957FF8">
              <w:rPr>
                <w:rFonts w:ascii="Times New Roman" w:hAnsi="Times New Roman" w:cs="Times New Roman"/>
                <w:sz w:val="24"/>
                <w:szCs w:val="24"/>
              </w:rPr>
              <w:t xml:space="preserve"> </w:t>
            </w:r>
            <w:r w:rsidR="00656C9E" w:rsidRPr="00957FF8">
              <w:rPr>
                <w:rFonts w:ascii="Times New Roman" w:hAnsi="Times New Roman" w:cs="Times New Roman"/>
                <w:sz w:val="24"/>
                <w:szCs w:val="24"/>
                <w:lang w:val="ru-RU"/>
              </w:rPr>
              <w:t>–</w:t>
            </w:r>
            <w:r w:rsidRPr="00957FF8">
              <w:rPr>
                <w:rFonts w:ascii="Times New Roman" w:hAnsi="Times New Roman" w:cs="Times New Roman"/>
                <w:sz w:val="24"/>
                <w:szCs w:val="24"/>
                <w:lang w:val="ru-RU"/>
              </w:rPr>
              <w:t xml:space="preserve"> </w:t>
            </w:r>
            <w:r w:rsidR="00656C9E" w:rsidRPr="00957FF8">
              <w:rPr>
                <w:rFonts w:ascii="Times New Roman" w:hAnsi="Times New Roman" w:cs="Times New Roman"/>
                <w:sz w:val="24"/>
                <w:szCs w:val="24"/>
              </w:rPr>
              <w:t>Декларация, съгласно Приложение №6 от Наредба 22 от 2015г.</w:t>
            </w:r>
            <w:r w:rsidRPr="00957FF8">
              <w:rPr>
                <w:rFonts w:ascii="Times New Roman" w:hAnsi="Times New Roman" w:cs="Times New Roman"/>
                <w:sz w:val="24"/>
                <w:szCs w:val="24"/>
              </w:rPr>
              <w:t>.</w:t>
            </w: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 2</w:t>
            </w:r>
            <w:r w:rsidRPr="00957FF8">
              <w:rPr>
                <w:rFonts w:ascii="Times New Roman" w:hAnsi="Times New Roman" w:cs="Times New Roman"/>
                <w:sz w:val="24"/>
                <w:szCs w:val="24"/>
              </w:rPr>
              <w:t xml:space="preserve"> </w:t>
            </w:r>
            <w:r w:rsidRPr="00957FF8">
              <w:rPr>
                <w:rFonts w:ascii="Times New Roman" w:hAnsi="Times New Roman" w:cs="Times New Roman"/>
                <w:sz w:val="24"/>
                <w:szCs w:val="24"/>
                <w:lang w:val="ru-RU"/>
              </w:rPr>
              <w:t xml:space="preserve">- </w:t>
            </w:r>
            <w:r w:rsidRPr="00957FF8">
              <w:rPr>
                <w:rFonts w:ascii="Times New Roman" w:hAnsi="Times New Roman" w:cs="Times New Roman"/>
                <w:sz w:val="24"/>
                <w:szCs w:val="24"/>
              </w:rPr>
              <w:t>Деклар</w:t>
            </w:r>
            <w:r w:rsidR="00F638E3" w:rsidRPr="00957FF8">
              <w:rPr>
                <w:rFonts w:ascii="Times New Roman" w:hAnsi="Times New Roman" w:cs="Times New Roman"/>
                <w:sz w:val="24"/>
                <w:szCs w:val="24"/>
              </w:rPr>
              <w:t>ация за нередности;</w:t>
            </w: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w:t>
            </w:r>
            <w:r w:rsidRPr="00957FF8">
              <w:rPr>
                <w:rFonts w:ascii="Times New Roman" w:hAnsi="Times New Roman" w:cs="Times New Roman"/>
                <w:sz w:val="24"/>
                <w:szCs w:val="24"/>
              </w:rPr>
              <w:t xml:space="preserve"> </w:t>
            </w:r>
            <w:r w:rsidRPr="00957FF8">
              <w:rPr>
                <w:rFonts w:ascii="Times New Roman" w:hAnsi="Times New Roman" w:cs="Times New Roman"/>
                <w:b/>
                <w:sz w:val="24"/>
                <w:szCs w:val="24"/>
              </w:rPr>
              <w:t>3</w:t>
            </w:r>
            <w:r w:rsidRPr="00957FF8">
              <w:rPr>
                <w:rFonts w:ascii="Times New Roman" w:hAnsi="Times New Roman" w:cs="Times New Roman"/>
                <w:sz w:val="24"/>
                <w:szCs w:val="24"/>
              </w:rPr>
              <w:t xml:space="preserve"> </w:t>
            </w:r>
            <w:r w:rsidR="00F638E3" w:rsidRPr="00957FF8">
              <w:rPr>
                <w:rFonts w:ascii="Times New Roman" w:hAnsi="Times New Roman" w:cs="Times New Roman"/>
                <w:sz w:val="24"/>
                <w:szCs w:val="24"/>
                <w:lang w:val="ru-RU"/>
              </w:rPr>
              <w:t>–</w:t>
            </w:r>
            <w:r w:rsidRPr="00957FF8">
              <w:rPr>
                <w:rFonts w:ascii="Times New Roman" w:hAnsi="Times New Roman" w:cs="Times New Roman"/>
                <w:sz w:val="24"/>
                <w:szCs w:val="24"/>
                <w:lang w:val="ru-RU"/>
              </w:rPr>
              <w:t xml:space="preserve"> </w:t>
            </w:r>
            <w:r w:rsidR="00F638E3" w:rsidRPr="00957FF8">
              <w:rPr>
                <w:rFonts w:ascii="Times New Roman" w:hAnsi="Times New Roman" w:cs="Times New Roman"/>
                <w:sz w:val="24"/>
                <w:szCs w:val="24"/>
              </w:rPr>
              <w:t>Декларация, съгласно чл.19 и 20 от ЗЗЛД;</w:t>
            </w: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 4</w:t>
            </w:r>
            <w:r w:rsidRPr="00957FF8">
              <w:rPr>
                <w:rFonts w:ascii="Times New Roman" w:hAnsi="Times New Roman" w:cs="Times New Roman"/>
                <w:b/>
                <w:sz w:val="24"/>
                <w:szCs w:val="24"/>
                <w:lang w:val="ru-RU"/>
              </w:rPr>
              <w:t xml:space="preserve"> </w:t>
            </w:r>
            <w:r w:rsidR="00F638E3" w:rsidRPr="00957FF8">
              <w:rPr>
                <w:rFonts w:ascii="Times New Roman" w:hAnsi="Times New Roman" w:cs="Times New Roman"/>
                <w:b/>
                <w:sz w:val="24"/>
                <w:szCs w:val="24"/>
                <w:lang w:val="ru-RU"/>
              </w:rPr>
              <w:t>–</w:t>
            </w:r>
            <w:r w:rsidR="00F638E3" w:rsidRPr="00957FF8">
              <w:rPr>
                <w:rFonts w:ascii="Times New Roman" w:hAnsi="Times New Roman" w:cs="Times New Roman"/>
                <w:sz w:val="24"/>
                <w:szCs w:val="24"/>
              </w:rPr>
              <w:t xml:space="preserve"> Формуляр за мониторинг;</w:t>
            </w: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 5</w:t>
            </w:r>
            <w:r w:rsidRPr="00957FF8">
              <w:rPr>
                <w:rFonts w:ascii="Times New Roman" w:hAnsi="Times New Roman" w:cs="Times New Roman"/>
                <w:sz w:val="24"/>
                <w:szCs w:val="24"/>
                <w:lang w:val="ru-RU"/>
              </w:rPr>
              <w:t xml:space="preserve"> </w:t>
            </w:r>
            <w:r w:rsidR="00F638E3" w:rsidRPr="00957FF8">
              <w:rPr>
                <w:rFonts w:ascii="Times New Roman" w:hAnsi="Times New Roman" w:cs="Times New Roman"/>
                <w:sz w:val="24"/>
                <w:szCs w:val="24"/>
                <w:lang w:val="ru-RU"/>
              </w:rPr>
              <w:t>–</w:t>
            </w:r>
            <w:r w:rsidR="00F638E3" w:rsidRPr="00957FF8">
              <w:rPr>
                <w:rFonts w:ascii="Times New Roman" w:hAnsi="Times New Roman" w:cs="Times New Roman"/>
                <w:sz w:val="24"/>
                <w:szCs w:val="24"/>
              </w:rPr>
              <w:t xml:space="preserve"> Документи за авансово заплащане;</w:t>
            </w: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 6</w:t>
            </w:r>
            <w:r w:rsidRPr="00957FF8">
              <w:rPr>
                <w:rFonts w:ascii="Times New Roman" w:hAnsi="Times New Roman" w:cs="Times New Roman"/>
                <w:sz w:val="24"/>
                <w:szCs w:val="24"/>
              </w:rPr>
              <w:t xml:space="preserve"> </w:t>
            </w:r>
            <w:r w:rsidR="00F638E3" w:rsidRPr="00957FF8">
              <w:rPr>
                <w:rFonts w:ascii="Times New Roman" w:hAnsi="Times New Roman" w:cs="Times New Roman"/>
                <w:sz w:val="24"/>
                <w:szCs w:val="24"/>
                <w:lang w:val="ru-RU"/>
              </w:rPr>
              <w:t>–</w:t>
            </w:r>
            <w:r w:rsidRPr="00957FF8">
              <w:rPr>
                <w:rFonts w:ascii="Times New Roman" w:hAnsi="Times New Roman" w:cs="Times New Roman"/>
                <w:sz w:val="24"/>
                <w:szCs w:val="24"/>
                <w:lang w:val="ru-RU"/>
              </w:rPr>
              <w:t xml:space="preserve"> </w:t>
            </w:r>
            <w:r w:rsidR="00F638E3" w:rsidRPr="00957FF8">
              <w:rPr>
                <w:rFonts w:ascii="Times New Roman" w:hAnsi="Times New Roman" w:cs="Times New Roman"/>
                <w:sz w:val="24"/>
                <w:szCs w:val="24"/>
              </w:rPr>
              <w:t>Банкова гаранция</w:t>
            </w:r>
            <w:r w:rsidRPr="00957FF8">
              <w:rPr>
                <w:rFonts w:ascii="Times New Roman" w:hAnsi="Times New Roman" w:cs="Times New Roman"/>
                <w:sz w:val="24"/>
                <w:szCs w:val="24"/>
              </w:rPr>
              <w:t>.</w:t>
            </w: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 7</w:t>
            </w:r>
            <w:r w:rsidRPr="00957FF8">
              <w:rPr>
                <w:rFonts w:ascii="Times New Roman" w:hAnsi="Times New Roman" w:cs="Times New Roman"/>
                <w:sz w:val="24"/>
                <w:szCs w:val="24"/>
              </w:rPr>
              <w:t xml:space="preserve"> </w:t>
            </w:r>
            <w:r w:rsidRPr="00957FF8">
              <w:rPr>
                <w:rFonts w:ascii="Times New Roman" w:hAnsi="Times New Roman" w:cs="Times New Roman"/>
                <w:sz w:val="24"/>
                <w:szCs w:val="24"/>
                <w:lang w:val="ru-RU"/>
              </w:rPr>
              <w:t xml:space="preserve">- </w:t>
            </w:r>
            <w:r w:rsidR="00AE2AEA">
              <w:rPr>
                <w:rFonts w:ascii="Times New Roman" w:hAnsi="Times New Roman" w:cs="Times New Roman"/>
                <w:sz w:val="24"/>
                <w:szCs w:val="24"/>
              </w:rPr>
              <w:t xml:space="preserve">Декларация </w:t>
            </w:r>
            <w:r w:rsidR="00AE2AEA" w:rsidRPr="00957FF8">
              <w:rPr>
                <w:rFonts w:ascii="Times New Roman" w:hAnsi="Times New Roman" w:cs="Times New Roman"/>
                <w:sz w:val="24"/>
                <w:szCs w:val="24"/>
              </w:rPr>
              <w:t>за опазване на околната среда, включително намаляване на вредни емисии и отпадъци</w:t>
            </w:r>
            <w:r w:rsidR="00F638E3" w:rsidRPr="00957FF8">
              <w:rPr>
                <w:rFonts w:ascii="Times New Roman" w:hAnsi="Times New Roman" w:cs="Times New Roman"/>
                <w:sz w:val="24"/>
                <w:szCs w:val="24"/>
              </w:rPr>
              <w:t>;</w:t>
            </w:r>
          </w:p>
          <w:p w:rsidR="002B0681" w:rsidRPr="00957FF8" w:rsidRDefault="002B0681" w:rsidP="002B0681">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 xml:space="preserve">Приложение № 8 </w:t>
            </w:r>
            <w:r w:rsidRPr="00957FF8">
              <w:rPr>
                <w:rFonts w:ascii="Times New Roman" w:hAnsi="Times New Roman" w:cs="Times New Roman"/>
                <w:sz w:val="24"/>
                <w:szCs w:val="24"/>
              </w:rPr>
              <w:t>- Декл</w:t>
            </w:r>
            <w:r w:rsidR="00F638E3" w:rsidRPr="00957FF8">
              <w:rPr>
                <w:rFonts w:ascii="Times New Roman" w:hAnsi="Times New Roman" w:cs="Times New Roman"/>
                <w:sz w:val="24"/>
                <w:szCs w:val="24"/>
              </w:rPr>
              <w:t>арация за съответсвие стандарти</w:t>
            </w:r>
            <w:r w:rsidR="005D1794" w:rsidRPr="00957FF8">
              <w:rPr>
                <w:rFonts w:ascii="Times New Roman" w:hAnsi="Times New Roman" w:cs="Times New Roman"/>
                <w:sz w:val="24"/>
                <w:szCs w:val="24"/>
              </w:rPr>
              <w:t>;</w:t>
            </w:r>
          </w:p>
          <w:p w:rsidR="002B0681" w:rsidRDefault="002B0681" w:rsidP="00D33298">
            <w:pPr>
              <w:numPr>
                <w:ilvl w:val="0"/>
                <w:numId w:val="1"/>
              </w:numPr>
              <w:tabs>
                <w:tab w:val="left" w:pos="285"/>
              </w:tabs>
              <w:spacing w:line="276" w:lineRule="auto"/>
              <w:ind w:left="23" w:firstLine="0"/>
              <w:contextualSpacing/>
              <w:jc w:val="both"/>
              <w:rPr>
                <w:rFonts w:ascii="Times New Roman" w:hAnsi="Times New Roman" w:cs="Times New Roman"/>
                <w:sz w:val="24"/>
                <w:szCs w:val="24"/>
              </w:rPr>
            </w:pPr>
            <w:r w:rsidRPr="00957FF8">
              <w:rPr>
                <w:rFonts w:ascii="Times New Roman" w:hAnsi="Times New Roman" w:cs="Times New Roman"/>
                <w:b/>
                <w:sz w:val="24"/>
                <w:szCs w:val="24"/>
              </w:rPr>
              <w:t>Приложение № 9</w:t>
            </w:r>
            <w:r w:rsidRPr="00957FF8">
              <w:rPr>
                <w:rFonts w:ascii="Times New Roman" w:hAnsi="Times New Roman" w:cs="Times New Roman"/>
                <w:sz w:val="24"/>
                <w:szCs w:val="24"/>
              </w:rPr>
              <w:t xml:space="preserve"> </w:t>
            </w:r>
            <w:r w:rsidRPr="00957FF8">
              <w:rPr>
                <w:rFonts w:ascii="Times New Roman" w:hAnsi="Times New Roman" w:cs="Times New Roman"/>
                <w:sz w:val="24"/>
                <w:szCs w:val="24"/>
                <w:lang w:val="ru-RU"/>
              </w:rPr>
              <w:t xml:space="preserve"> - </w:t>
            </w:r>
            <w:r w:rsidR="00AE2AEA">
              <w:rPr>
                <w:rFonts w:ascii="Times New Roman" w:hAnsi="Times New Roman" w:cs="Times New Roman"/>
                <w:sz w:val="24"/>
                <w:szCs w:val="24"/>
              </w:rPr>
              <w:t>Д</w:t>
            </w:r>
            <w:r w:rsidR="00AE2AEA" w:rsidRPr="00957FF8">
              <w:rPr>
                <w:rFonts w:ascii="Times New Roman" w:hAnsi="Times New Roman" w:cs="Times New Roman"/>
                <w:sz w:val="24"/>
                <w:szCs w:val="24"/>
              </w:rPr>
              <w:t>екларация за подобряване на безопасността и хигиенните условия на производство</w:t>
            </w:r>
            <w:r w:rsidR="00AE2AEA">
              <w:rPr>
                <w:rFonts w:ascii="Times New Roman" w:hAnsi="Times New Roman" w:cs="Times New Roman"/>
                <w:sz w:val="24"/>
                <w:szCs w:val="24"/>
              </w:rPr>
              <w:t xml:space="preserve"> и труд </w:t>
            </w:r>
            <w:r w:rsidR="005D1794" w:rsidRPr="00957FF8">
              <w:rPr>
                <w:rFonts w:ascii="Times New Roman" w:hAnsi="Times New Roman" w:cs="Times New Roman"/>
                <w:sz w:val="24"/>
                <w:szCs w:val="24"/>
              </w:rPr>
              <w:t>;</w:t>
            </w:r>
          </w:p>
          <w:p w:rsidR="002B0681" w:rsidRPr="00E11AEF" w:rsidRDefault="002B0681" w:rsidP="00E11AEF">
            <w:pPr>
              <w:pStyle w:val="a5"/>
              <w:numPr>
                <w:ilvl w:val="0"/>
                <w:numId w:val="1"/>
              </w:numPr>
              <w:tabs>
                <w:tab w:val="left" w:pos="426"/>
              </w:tabs>
              <w:spacing w:line="276" w:lineRule="auto"/>
              <w:ind w:left="284" w:hanging="284"/>
              <w:jc w:val="both"/>
              <w:rPr>
                <w:rFonts w:ascii="Times New Roman" w:hAnsi="Times New Roman" w:cs="Times New Roman"/>
                <w:sz w:val="24"/>
                <w:szCs w:val="24"/>
              </w:rPr>
            </w:pPr>
            <w:r w:rsidRPr="00E11AEF">
              <w:rPr>
                <w:rFonts w:ascii="Times New Roman" w:hAnsi="Times New Roman" w:cs="Times New Roman"/>
                <w:b/>
                <w:sz w:val="24"/>
                <w:szCs w:val="24"/>
              </w:rPr>
              <w:t>Образец на административен договор</w:t>
            </w:r>
            <w:r w:rsidR="00E11AEF" w:rsidRPr="00E11AEF">
              <w:rPr>
                <w:rFonts w:ascii="Times New Roman" w:hAnsi="Times New Roman" w:cs="Times New Roman"/>
                <w:b/>
                <w:sz w:val="24"/>
                <w:szCs w:val="24"/>
              </w:rPr>
              <w:t xml:space="preserve"> и приложения</w:t>
            </w:r>
            <w:r w:rsidR="005D1794" w:rsidRPr="00E11AEF">
              <w:rPr>
                <w:rFonts w:ascii="Times New Roman" w:hAnsi="Times New Roman" w:cs="Times New Roman"/>
                <w:b/>
                <w:sz w:val="24"/>
                <w:szCs w:val="24"/>
              </w:rPr>
              <w:t>.</w:t>
            </w:r>
          </w:p>
          <w:p w:rsidR="0018312C" w:rsidRPr="00957FF8" w:rsidRDefault="0018312C" w:rsidP="002B0681">
            <w:pPr>
              <w:tabs>
                <w:tab w:val="left" w:pos="270"/>
              </w:tabs>
              <w:spacing w:line="276" w:lineRule="auto"/>
              <w:jc w:val="both"/>
              <w:rPr>
                <w:rFonts w:ascii="Times New Roman" w:hAnsi="Times New Roman" w:cs="Times New Roman"/>
                <w:bCs/>
                <w:sz w:val="24"/>
                <w:szCs w:val="24"/>
              </w:rPr>
            </w:pPr>
          </w:p>
        </w:tc>
      </w:tr>
    </w:tbl>
    <w:p w:rsidR="002534EF" w:rsidRPr="00957FF8" w:rsidRDefault="002534EF" w:rsidP="003C1C68">
      <w:pPr>
        <w:pStyle w:val="1"/>
        <w:rPr>
          <w:rFonts w:cs="Times New Roman"/>
          <w:szCs w:val="24"/>
        </w:rPr>
      </w:pPr>
    </w:p>
    <w:sectPr w:rsidR="002534EF" w:rsidRPr="00957FF8" w:rsidSect="003F24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7C" w:rsidRDefault="007D377C" w:rsidP="00774D26">
      <w:pPr>
        <w:spacing w:after="0" w:line="240" w:lineRule="auto"/>
      </w:pPr>
      <w:r>
        <w:separator/>
      </w:r>
    </w:p>
  </w:endnote>
  <w:endnote w:type="continuationSeparator" w:id="0">
    <w:p w:rsidR="007D377C" w:rsidRDefault="007D377C" w:rsidP="0077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34605"/>
      <w:docPartObj>
        <w:docPartGallery w:val="Page Numbers (Bottom of Page)"/>
        <w:docPartUnique/>
      </w:docPartObj>
    </w:sdtPr>
    <w:sdtEndPr/>
    <w:sdtContent>
      <w:p w:rsidR="00A23ACB" w:rsidRPr="00A23ACB" w:rsidRDefault="00A23ACB" w:rsidP="00A23ACB">
        <w:pPr>
          <w:pStyle w:val="a9"/>
          <w:jc w:val="center"/>
          <w:rPr>
            <w:rFonts w:ascii="Times New Roman" w:eastAsia="Calibri" w:hAnsi="Times New Roman" w:cs="Times New Roman"/>
            <w:lang w:val="en-US"/>
          </w:rPr>
        </w:pPr>
        <w:r w:rsidRPr="003D397B">
          <w:rPr>
            <w:rFonts w:ascii="Times New Roman" w:eastAsia="Calibri" w:hAnsi="Times New Roman" w:cs="Times New Roman"/>
          </w:rPr>
          <w:t>BG06RDNP001-19</w:t>
        </w:r>
        <w:r w:rsidR="003D397B" w:rsidRPr="003D397B">
          <w:rPr>
            <w:rFonts w:ascii="Times New Roman" w:eastAsia="Calibri" w:hAnsi="Times New Roman" w:cs="Times New Roman"/>
          </w:rPr>
          <w:t>.600</w:t>
        </w:r>
        <w:r w:rsidRPr="003D397B">
          <w:rPr>
            <w:rFonts w:ascii="Times New Roman" w:eastAsia="Calibri" w:hAnsi="Times New Roman" w:cs="Times New Roman"/>
          </w:rPr>
          <w:t xml:space="preserve"> МИГ Момчилград - Крумовград</w:t>
        </w:r>
        <w:r w:rsidRPr="00A23ACB">
          <w:rPr>
            <w:rFonts w:ascii="Times New Roman" w:eastAsia="Calibri" w:hAnsi="Times New Roman" w:cs="Times New Roman"/>
          </w:rPr>
          <w:t xml:space="preserve"> - мярка 4.1.1. „Подкрепа за инвестиции в земеделски стопанства“</w:t>
        </w:r>
        <w:r w:rsidRPr="00A23ACB">
          <w:rPr>
            <w:rFonts w:ascii="Times New Roman" w:eastAsia="Calibri" w:hAnsi="Times New Roman" w:cs="Times New Roman"/>
            <w:lang w:val="en-US"/>
          </w:rPr>
          <w:t xml:space="preserve"> </w:t>
        </w:r>
      </w:p>
      <w:p w:rsidR="00774D26" w:rsidRDefault="00B60A5C">
        <w:pPr>
          <w:pStyle w:val="a9"/>
          <w:jc w:val="right"/>
        </w:pPr>
        <w:r>
          <w:fldChar w:fldCharType="begin"/>
        </w:r>
        <w:r w:rsidR="00774D26">
          <w:instrText>PAGE   \* MERGEFORMAT</w:instrText>
        </w:r>
        <w:r>
          <w:fldChar w:fldCharType="separate"/>
        </w:r>
        <w:r w:rsidR="004C08BC">
          <w:rPr>
            <w:noProof/>
          </w:rPr>
          <w:t>5</w:t>
        </w:r>
        <w:r>
          <w:fldChar w:fldCharType="end"/>
        </w:r>
      </w:p>
    </w:sdtContent>
  </w:sdt>
  <w:p w:rsidR="00774D26" w:rsidRDefault="00774D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7C" w:rsidRDefault="007D377C" w:rsidP="00774D26">
      <w:pPr>
        <w:spacing w:after="0" w:line="240" w:lineRule="auto"/>
      </w:pPr>
      <w:r>
        <w:separator/>
      </w:r>
    </w:p>
  </w:footnote>
  <w:footnote w:type="continuationSeparator" w:id="0">
    <w:p w:rsidR="007D377C" w:rsidRDefault="007D377C" w:rsidP="00774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2479"/>
      <w:gridCol w:w="1914"/>
      <w:gridCol w:w="2783"/>
    </w:tblGrid>
    <w:tr w:rsidR="00CE5690" w:rsidRPr="001315B3" w:rsidTr="00392E41">
      <w:trPr>
        <w:trHeight w:val="1222"/>
        <w:jc w:val="center"/>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CE5690" w:rsidRPr="001315B3"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caps/>
              <w:color w:val="000000"/>
              <w:sz w:val="20"/>
              <w:szCs w:val="24"/>
            </w:rPr>
          </w:pPr>
          <w:r w:rsidRPr="001315B3">
            <w:rPr>
              <w:b/>
              <w:bCs/>
              <w:color w:val="44546A"/>
              <w:sz w:val="28"/>
              <w:szCs w:val="28"/>
            </w:rPr>
            <w:t xml:space="preserve">   </w:t>
          </w:r>
          <w:r w:rsidRPr="001315B3">
            <w:rPr>
              <w:noProof/>
              <w:lang w:eastAsia="bg-BG"/>
            </w:rPr>
            <w:t xml:space="preserve"> </w:t>
          </w:r>
          <w:r>
            <w:rPr>
              <w:rFonts w:ascii="Times New Roman" w:hAnsi="Times New Roman"/>
              <w:noProof/>
              <w:color w:val="000000"/>
              <w:sz w:val="20"/>
              <w:szCs w:val="24"/>
              <w:lang w:eastAsia="bg-BG"/>
            </w:rPr>
            <w:drawing>
              <wp:inline distT="0" distB="0" distL="0" distR="0">
                <wp:extent cx="971550" cy="10096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srcRect/>
                        <a:stretch>
                          <a:fillRect/>
                        </a:stretch>
                      </pic:blipFill>
                      <pic:spPr bwMode="auto">
                        <a:xfrm>
                          <a:off x="0" y="0"/>
                          <a:ext cx="971550" cy="1009650"/>
                        </a:xfrm>
                        <a:prstGeom prst="rect">
                          <a:avLst/>
                        </a:prstGeom>
                        <a:noFill/>
                        <a:ln w="9525">
                          <a:noFill/>
                          <a:miter lim="800000"/>
                          <a:headEnd/>
                          <a:tailEnd/>
                        </a:ln>
                      </pic:spPr>
                    </pic:pic>
                  </a:graphicData>
                </a:graphic>
              </wp:inline>
            </w:drawing>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CE5690" w:rsidRPr="001315B3"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caps/>
              <w:color w:val="000000"/>
              <w:sz w:val="20"/>
              <w:szCs w:val="24"/>
            </w:rPr>
          </w:pPr>
        </w:p>
        <w:p w:rsidR="00CE5690" w:rsidRPr="001315B3" w:rsidRDefault="00CE5690" w:rsidP="00392E41">
          <w:pPr>
            <w:autoSpaceDN w:val="0"/>
            <w:spacing w:after="0" w:line="240" w:lineRule="auto"/>
            <w:jc w:val="center"/>
            <w:rPr>
              <w:rFonts w:ascii="Times New Roman" w:hAnsi="Times New Roman"/>
              <w:b/>
              <w:caps/>
              <w:color w:val="000000"/>
              <w:sz w:val="20"/>
              <w:szCs w:val="24"/>
            </w:rPr>
          </w:pPr>
          <w:r>
            <w:rPr>
              <w:rFonts w:ascii="Times New Roman" w:eastAsia="Times New Roman" w:hAnsi="Times New Roman"/>
              <w:noProof/>
              <w:sz w:val="24"/>
              <w:szCs w:val="24"/>
              <w:lang w:eastAsia="bg-BG"/>
            </w:rPr>
            <w:drawing>
              <wp:inline distT="0" distB="0" distL="0" distR="0">
                <wp:extent cx="1466850" cy="6477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466850" cy="647700"/>
                        </a:xfrm>
                        <a:prstGeom prst="rect">
                          <a:avLst/>
                        </a:prstGeom>
                        <a:noFill/>
                        <a:ln w="9525">
                          <a:noFill/>
                          <a:miter lim="800000"/>
                          <a:headEnd/>
                          <a:tailEnd/>
                        </a:ln>
                      </pic:spPr>
                    </pic:pic>
                  </a:graphicData>
                </a:graphic>
              </wp:inline>
            </w:drawing>
          </w:r>
        </w:p>
      </w:tc>
      <w:tc>
        <w:tcPr>
          <w:tcW w:w="989" w:type="pct"/>
          <w:tcBorders>
            <w:top w:val="single" w:sz="4" w:space="0" w:color="auto"/>
            <w:left w:val="single" w:sz="4" w:space="0" w:color="auto"/>
            <w:bottom w:val="single" w:sz="4" w:space="0" w:color="auto"/>
            <w:right w:val="single" w:sz="4" w:space="0" w:color="auto"/>
          </w:tcBorders>
          <w:shd w:val="clear" w:color="auto" w:fill="auto"/>
          <w:hideMark/>
        </w:tcPr>
        <w:p w:rsidR="00CE5690" w:rsidRPr="001315B3" w:rsidRDefault="00CE5690" w:rsidP="00392E41">
          <w:pPr>
            <w:tabs>
              <w:tab w:val="center" w:pos="4421"/>
              <w:tab w:val="center" w:pos="4536"/>
              <w:tab w:val="left" w:pos="7725"/>
              <w:tab w:val="right" w:pos="9072"/>
            </w:tabs>
            <w:autoSpaceDN w:val="0"/>
            <w:spacing w:after="0" w:line="240" w:lineRule="auto"/>
            <w:rPr>
              <w:rFonts w:ascii="Times New Roman" w:hAnsi="Times New Roman"/>
              <w:b/>
              <w:noProof/>
              <w:sz w:val="24"/>
              <w:lang w:eastAsia="bg-BG"/>
            </w:rPr>
          </w:pPr>
        </w:p>
        <w:p w:rsidR="00CE5690" w:rsidRPr="001315B3"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noProof/>
              <w:sz w:val="24"/>
              <w:lang w:eastAsia="bg-BG"/>
            </w:rPr>
          </w:pPr>
          <w:r>
            <w:rPr>
              <w:rFonts w:ascii="Times New Roman" w:hAnsi="Times New Roman"/>
              <w:b/>
              <w:noProof/>
              <w:sz w:val="24"/>
              <w:lang w:eastAsia="bg-BG"/>
            </w:rPr>
            <w:drawing>
              <wp:inline distT="0" distB="0" distL="0" distR="0">
                <wp:extent cx="762000" cy="600075"/>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3"/>
                        <a:srcRect/>
                        <a:stretch>
                          <a:fillRect/>
                        </a:stretch>
                      </pic:blipFill>
                      <pic:spPr bwMode="auto">
                        <a:xfrm>
                          <a:off x="0" y="0"/>
                          <a:ext cx="762000" cy="600075"/>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lang w:eastAsia="bg-BG"/>
            </w:rPr>
            <w:drawing>
              <wp:anchor distT="0" distB="0" distL="114300" distR="114300" simplePos="0" relativeHeight="251661312" behindDoc="0" locked="0" layoutInCell="1" allowOverlap="1">
                <wp:simplePos x="0" y="0"/>
                <wp:positionH relativeFrom="column">
                  <wp:posOffset>5984240</wp:posOffset>
                </wp:positionH>
                <wp:positionV relativeFrom="paragraph">
                  <wp:posOffset>29210</wp:posOffset>
                </wp:positionV>
                <wp:extent cx="1138555" cy="974090"/>
                <wp:effectExtent l="19050" t="0" r="4445" b="0"/>
                <wp:wrapNone/>
                <wp:docPr id="6"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4"/>
                        <a:srcRect/>
                        <a:stretch>
                          <a:fillRect/>
                        </a:stretch>
                      </pic:blipFill>
                      <pic:spPr bwMode="auto">
                        <a:xfrm>
                          <a:off x="0" y="0"/>
                          <a:ext cx="1138555" cy="974090"/>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4"/>
              <w:lang w:eastAsia="bg-BG"/>
            </w:rPr>
            <w:drawing>
              <wp:anchor distT="0" distB="0" distL="114300" distR="114300" simplePos="0" relativeHeight="251660288" behindDoc="0" locked="0" layoutInCell="1" allowOverlap="1">
                <wp:simplePos x="0" y="0"/>
                <wp:positionH relativeFrom="column">
                  <wp:posOffset>5984240</wp:posOffset>
                </wp:positionH>
                <wp:positionV relativeFrom="paragraph">
                  <wp:posOffset>29210</wp:posOffset>
                </wp:positionV>
                <wp:extent cx="1138555" cy="974090"/>
                <wp:effectExtent l="19050" t="0" r="4445" b="0"/>
                <wp:wrapNone/>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4"/>
                        <a:srcRect/>
                        <a:stretch>
                          <a:fillRect/>
                        </a:stretch>
                      </pic:blipFill>
                      <pic:spPr bwMode="auto">
                        <a:xfrm>
                          <a:off x="0" y="0"/>
                          <a:ext cx="1138555" cy="974090"/>
                        </a:xfrm>
                        <a:prstGeom prst="rect">
                          <a:avLst/>
                        </a:prstGeom>
                        <a:noFill/>
                        <a:ln w="9525">
                          <a:noFill/>
                          <a:miter lim="800000"/>
                          <a:headEnd/>
                          <a:tailEnd/>
                        </a:ln>
                      </pic:spPr>
                    </pic:pic>
                  </a:graphicData>
                </a:graphic>
              </wp:anchor>
            </w:drawing>
          </w:r>
        </w:p>
      </w:tc>
      <w:tc>
        <w:tcPr>
          <w:tcW w:w="1438" w:type="pct"/>
          <w:tcBorders>
            <w:top w:val="single" w:sz="4" w:space="0" w:color="auto"/>
            <w:left w:val="single" w:sz="4" w:space="0" w:color="auto"/>
            <w:bottom w:val="single" w:sz="4" w:space="0" w:color="auto"/>
            <w:right w:val="single" w:sz="4" w:space="0" w:color="auto"/>
          </w:tcBorders>
        </w:tcPr>
        <w:p w:rsidR="00CE5690" w:rsidRPr="001315B3"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noProof/>
              <w:sz w:val="24"/>
              <w:lang w:eastAsia="bg-BG"/>
            </w:rPr>
          </w:pPr>
        </w:p>
        <w:p w:rsidR="00CE5690" w:rsidRPr="001315B3"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caps/>
              <w:color w:val="000000"/>
              <w:sz w:val="20"/>
              <w:szCs w:val="24"/>
            </w:rPr>
          </w:pPr>
          <w:r>
            <w:rPr>
              <w:i/>
              <w:noProof/>
              <w:lang w:eastAsia="bg-BG"/>
            </w:rPr>
            <w:drawing>
              <wp:inline distT="0" distB="0" distL="0" distR="0">
                <wp:extent cx="914400" cy="600075"/>
                <wp:effectExtent l="19050" t="19050" r="19050" b="285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14400" cy="600075"/>
                        </a:xfrm>
                        <a:prstGeom prst="rect">
                          <a:avLst/>
                        </a:prstGeom>
                        <a:noFill/>
                        <a:ln w="9525" cmpd="sng">
                          <a:solidFill>
                            <a:srgbClr val="000000"/>
                          </a:solidFill>
                          <a:miter lim="800000"/>
                          <a:headEnd/>
                          <a:tailEnd/>
                        </a:ln>
                        <a:effectLst/>
                      </pic:spPr>
                    </pic:pic>
                  </a:graphicData>
                </a:graphic>
              </wp:inline>
            </w:drawing>
          </w:r>
        </w:p>
      </w:tc>
    </w:tr>
    <w:tr w:rsidR="00CE5690" w:rsidRPr="001315B3" w:rsidTr="00392E41">
      <w:trPr>
        <w:trHeight w:val="52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E5690"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sz w:val="20"/>
              <w:szCs w:val="20"/>
            </w:rPr>
          </w:pPr>
          <w:r w:rsidRPr="0082685D">
            <w:rPr>
              <w:rFonts w:ascii="Times New Roman" w:hAnsi="Times New Roman"/>
              <w:b/>
              <w:sz w:val="20"/>
              <w:szCs w:val="20"/>
            </w:rPr>
            <w:t xml:space="preserve">ЕВРОПЕЙСКИ ЗЕМЕДЕЛСКИ ФОНД ЗА РАЗВИТИЕ НА СЕЛСКИТЕ РАЙОНИ </w:t>
          </w:r>
          <w:r>
            <w:rPr>
              <w:rFonts w:ascii="Times New Roman" w:hAnsi="Times New Roman"/>
              <w:b/>
              <w:sz w:val="20"/>
              <w:szCs w:val="20"/>
            </w:rPr>
            <w:t xml:space="preserve">– </w:t>
          </w:r>
        </w:p>
        <w:p w:rsidR="00CE5690" w:rsidRPr="0082685D"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noProof/>
              <w:sz w:val="20"/>
              <w:szCs w:val="20"/>
              <w:lang w:eastAsia="bg-BG"/>
            </w:rPr>
          </w:pPr>
          <w:r w:rsidRPr="0082685D">
            <w:rPr>
              <w:rFonts w:ascii="Times New Roman" w:hAnsi="Times New Roman"/>
              <w:b/>
              <w:sz w:val="20"/>
              <w:szCs w:val="20"/>
            </w:rPr>
            <w:t>ЕВРОПА ИНВЕСТИРА В СЕЛСКИТЕ РАЙОНИ</w:t>
          </w:r>
        </w:p>
      </w:tc>
    </w:tr>
    <w:tr w:rsidR="00CE5690" w:rsidRPr="001315B3" w:rsidTr="00392E41">
      <w:trPr>
        <w:trHeight w:val="24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E5690" w:rsidRPr="001315B3"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noProof/>
              <w:sz w:val="20"/>
              <w:szCs w:val="20"/>
              <w:lang w:eastAsia="bg-BG"/>
            </w:rPr>
          </w:pPr>
          <w:r w:rsidRPr="001315B3">
            <w:rPr>
              <w:rFonts w:ascii="Times New Roman" w:hAnsi="Times New Roman"/>
              <w:b/>
              <w:noProof/>
              <w:sz w:val="20"/>
              <w:szCs w:val="20"/>
              <w:lang w:eastAsia="bg-BG"/>
            </w:rPr>
            <w:t>ВОДЕНО ОТ ОБЩНОСТИТЕ МЕСТНО РАЗВИТИЕ</w:t>
          </w:r>
        </w:p>
      </w:tc>
    </w:tr>
    <w:tr w:rsidR="00CE5690" w:rsidRPr="001315B3" w:rsidTr="00392E41">
      <w:trPr>
        <w:trHeight w:val="24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E5690" w:rsidRPr="001315B3" w:rsidRDefault="00CE5690" w:rsidP="00392E41">
          <w:pPr>
            <w:tabs>
              <w:tab w:val="center" w:pos="4421"/>
              <w:tab w:val="center" w:pos="4536"/>
              <w:tab w:val="left" w:pos="7725"/>
              <w:tab w:val="right" w:pos="9072"/>
            </w:tabs>
            <w:autoSpaceDN w:val="0"/>
            <w:spacing w:after="0" w:line="240" w:lineRule="auto"/>
            <w:jc w:val="center"/>
            <w:rPr>
              <w:rFonts w:ascii="Times New Roman" w:hAnsi="Times New Roman"/>
              <w:b/>
              <w:noProof/>
              <w:sz w:val="20"/>
              <w:szCs w:val="20"/>
              <w:lang w:eastAsia="bg-BG"/>
            </w:rPr>
          </w:pPr>
          <w:r w:rsidRPr="001315B3">
            <w:rPr>
              <w:rFonts w:ascii="Times New Roman" w:hAnsi="Times New Roman"/>
              <w:b/>
              <w:noProof/>
              <w:sz w:val="20"/>
              <w:szCs w:val="20"/>
              <w:lang w:eastAsia="bg-BG"/>
            </w:rPr>
            <w:t>МЕСТНА ИНИЦИАТИВНА ГРУПА „ОБЩИНИ МОМЧИЛГРАД И КРУМОВГРАД“</w:t>
          </w:r>
        </w:p>
      </w:tc>
    </w:tr>
  </w:tbl>
  <w:p w:rsidR="00CE5690" w:rsidRDefault="00CE56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A30"/>
    <w:multiLevelType w:val="hybridMultilevel"/>
    <w:tmpl w:val="EC087CD0"/>
    <w:lvl w:ilvl="0" w:tplc="9AA6543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80A51A3"/>
    <w:multiLevelType w:val="hybridMultilevel"/>
    <w:tmpl w:val="23EEBDFE"/>
    <w:lvl w:ilvl="0" w:tplc="3C74A4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62616B"/>
    <w:multiLevelType w:val="hybridMultilevel"/>
    <w:tmpl w:val="2AA41FE0"/>
    <w:lvl w:ilvl="0" w:tplc="9AA6543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49210BD"/>
    <w:multiLevelType w:val="hybridMultilevel"/>
    <w:tmpl w:val="8FBCB426"/>
    <w:lvl w:ilvl="0" w:tplc="3C74A4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8474690"/>
    <w:multiLevelType w:val="hybridMultilevel"/>
    <w:tmpl w:val="91BEC7B2"/>
    <w:lvl w:ilvl="0" w:tplc="7152CF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8997DA7"/>
    <w:multiLevelType w:val="hybridMultilevel"/>
    <w:tmpl w:val="C540A5A6"/>
    <w:lvl w:ilvl="0" w:tplc="7152CF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3957B5E"/>
    <w:multiLevelType w:val="hybridMultilevel"/>
    <w:tmpl w:val="0FCC76CA"/>
    <w:lvl w:ilvl="0" w:tplc="B54A62E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6C066C3"/>
    <w:multiLevelType w:val="hybridMultilevel"/>
    <w:tmpl w:val="F4D8AD4C"/>
    <w:lvl w:ilvl="0" w:tplc="52C24B3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7E30B66"/>
    <w:multiLevelType w:val="hybridMultilevel"/>
    <w:tmpl w:val="A022A8E2"/>
    <w:lvl w:ilvl="0" w:tplc="926A5B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D6744"/>
    <w:multiLevelType w:val="hybridMultilevel"/>
    <w:tmpl w:val="C8EA69C0"/>
    <w:lvl w:ilvl="0" w:tplc="32B258F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B519A4"/>
    <w:multiLevelType w:val="hybridMultilevel"/>
    <w:tmpl w:val="62F82208"/>
    <w:lvl w:ilvl="0" w:tplc="CE2894EA">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54CE175D"/>
    <w:multiLevelType w:val="hybridMultilevel"/>
    <w:tmpl w:val="20F49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A484F28"/>
    <w:multiLevelType w:val="hybridMultilevel"/>
    <w:tmpl w:val="2AF6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FE3070"/>
    <w:multiLevelType w:val="hybridMultilevel"/>
    <w:tmpl w:val="634259A2"/>
    <w:lvl w:ilvl="0" w:tplc="32B258F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9175CE1"/>
    <w:multiLevelType w:val="hybridMultilevel"/>
    <w:tmpl w:val="91BEC7B2"/>
    <w:lvl w:ilvl="0" w:tplc="7152CF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F9E459C"/>
    <w:multiLevelType w:val="hybridMultilevel"/>
    <w:tmpl w:val="5FEAE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39A22D3"/>
    <w:multiLevelType w:val="hybridMultilevel"/>
    <w:tmpl w:val="4D0414E0"/>
    <w:lvl w:ilvl="0" w:tplc="7152CF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4"/>
  </w:num>
  <w:num w:numId="3">
    <w:abstractNumId w:val="16"/>
  </w:num>
  <w:num w:numId="4">
    <w:abstractNumId w:val="0"/>
  </w:num>
  <w:num w:numId="5">
    <w:abstractNumId w:val="2"/>
  </w:num>
  <w:num w:numId="6">
    <w:abstractNumId w:val="1"/>
  </w:num>
  <w:num w:numId="7">
    <w:abstractNumId w:val="3"/>
  </w:num>
  <w:num w:numId="8">
    <w:abstractNumId w:val="13"/>
  </w:num>
  <w:num w:numId="9">
    <w:abstractNumId w:val="9"/>
  </w:num>
  <w:num w:numId="10">
    <w:abstractNumId w:val="6"/>
  </w:num>
  <w:num w:numId="11">
    <w:abstractNumId w:val="15"/>
  </w:num>
  <w:num w:numId="12">
    <w:abstractNumId w:val="4"/>
  </w:num>
  <w:num w:numId="13">
    <w:abstractNumId w:val="11"/>
  </w:num>
  <w:num w:numId="14">
    <w:abstractNumId w:val="10"/>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34EF"/>
    <w:rsid w:val="000359D5"/>
    <w:rsid w:val="00045465"/>
    <w:rsid w:val="0006161F"/>
    <w:rsid w:val="000A3324"/>
    <w:rsid w:val="000D3F32"/>
    <w:rsid w:val="000F0EB1"/>
    <w:rsid w:val="001032AC"/>
    <w:rsid w:val="00120934"/>
    <w:rsid w:val="0018312C"/>
    <w:rsid w:val="002534EF"/>
    <w:rsid w:val="002B0681"/>
    <w:rsid w:val="003258C0"/>
    <w:rsid w:val="00326BDC"/>
    <w:rsid w:val="003358EF"/>
    <w:rsid w:val="0039251D"/>
    <w:rsid w:val="003C0EF4"/>
    <w:rsid w:val="003C1C68"/>
    <w:rsid w:val="003D397B"/>
    <w:rsid w:val="003D5C32"/>
    <w:rsid w:val="003D7CDA"/>
    <w:rsid w:val="003F24AC"/>
    <w:rsid w:val="00474190"/>
    <w:rsid w:val="004B7B83"/>
    <w:rsid w:val="004C08BC"/>
    <w:rsid w:val="004E4622"/>
    <w:rsid w:val="00545A4A"/>
    <w:rsid w:val="00554EF8"/>
    <w:rsid w:val="005B6739"/>
    <w:rsid w:val="005D1794"/>
    <w:rsid w:val="00644663"/>
    <w:rsid w:val="00656C9E"/>
    <w:rsid w:val="00685F44"/>
    <w:rsid w:val="006B5E6B"/>
    <w:rsid w:val="006C605C"/>
    <w:rsid w:val="006D47C2"/>
    <w:rsid w:val="007462D3"/>
    <w:rsid w:val="00774D26"/>
    <w:rsid w:val="007D377C"/>
    <w:rsid w:val="007F31A8"/>
    <w:rsid w:val="00817CC4"/>
    <w:rsid w:val="00855846"/>
    <w:rsid w:val="009054BC"/>
    <w:rsid w:val="00957FF8"/>
    <w:rsid w:val="009726BA"/>
    <w:rsid w:val="009C5892"/>
    <w:rsid w:val="009F4516"/>
    <w:rsid w:val="00A23ACB"/>
    <w:rsid w:val="00A36E6D"/>
    <w:rsid w:val="00AA3292"/>
    <w:rsid w:val="00AE2AEA"/>
    <w:rsid w:val="00B22A93"/>
    <w:rsid w:val="00B60A5C"/>
    <w:rsid w:val="00B701CA"/>
    <w:rsid w:val="00BB4CDD"/>
    <w:rsid w:val="00BD5501"/>
    <w:rsid w:val="00BE19B3"/>
    <w:rsid w:val="00BE6CAA"/>
    <w:rsid w:val="00C11BE0"/>
    <w:rsid w:val="00C22930"/>
    <w:rsid w:val="00CC4628"/>
    <w:rsid w:val="00CC5969"/>
    <w:rsid w:val="00CE565B"/>
    <w:rsid w:val="00CE5690"/>
    <w:rsid w:val="00D33298"/>
    <w:rsid w:val="00D33CBB"/>
    <w:rsid w:val="00D33F5F"/>
    <w:rsid w:val="00D73CFB"/>
    <w:rsid w:val="00D95B15"/>
    <w:rsid w:val="00DD027F"/>
    <w:rsid w:val="00E11AEF"/>
    <w:rsid w:val="00E125DA"/>
    <w:rsid w:val="00EB1F15"/>
    <w:rsid w:val="00EB55E8"/>
    <w:rsid w:val="00F1576D"/>
    <w:rsid w:val="00F638E3"/>
    <w:rsid w:val="00F77513"/>
    <w:rsid w:val="00FA3C0B"/>
    <w:rsid w:val="00FB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AC"/>
  </w:style>
  <w:style w:type="paragraph" w:styleId="1">
    <w:name w:val="heading 1"/>
    <w:basedOn w:val="a"/>
    <w:next w:val="a"/>
    <w:link w:val="10"/>
    <w:uiPriority w:val="9"/>
    <w:qFormat/>
    <w:rsid w:val="002534EF"/>
    <w:pPr>
      <w:keepNext/>
      <w:keepLines/>
      <w:spacing w:before="480" w:after="0" w:line="276" w:lineRule="auto"/>
      <w:outlineLvl w:val="0"/>
    </w:pPr>
    <w:rPr>
      <w:rFonts w:ascii="Times New Roman" w:eastAsiaTheme="majorEastAsia" w:hAnsi="Times New Roman"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4EF"/>
    <w:rPr>
      <w:color w:val="0563C1" w:themeColor="hyperlink"/>
      <w:u w:val="single"/>
    </w:rPr>
  </w:style>
  <w:style w:type="paragraph" w:styleId="11">
    <w:name w:val="toc 1"/>
    <w:basedOn w:val="a"/>
    <w:next w:val="a"/>
    <w:autoRedefine/>
    <w:uiPriority w:val="39"/>
    <w:unhideWhenUsed/>
    <w:rsid w:val="0006161F"/>
    <w:pPr>
      <w:tabs>
        <w:tab w:val="right" w:leader="dot" w:pos="9062"/>
      </w:tabs>
      <w:spacing w:after="100" w:line="276" w:lineRule="auto"/>
    </w:pPr>
    <w:rPr>
      <w:rFonts w:ascii="Times New Roman" w:hAnsi="Times New Roman" w:cs="Times New Roman"/>
      <w:b/>
      <w:noProof/>
      <w:sz w:val="24"/>
      <w:szCs w:val="24"/>
    </w:rPr>
  </w:style>
  <w:style w:type="character" w:customStyle="1" w:styleId="10">
    <w:name w:val="Заглавие 1 Знак"/>
    <w:basedOn w:val="a0"/>
    <w:link w:val="1"/>
    <w:uiPriority w:val="9"/>
    <w:rsid w:val="002534EF"/>
    <w:rPr>
      <w:rFonts w:ascii="Times New Roman" w:eastAsiaTheme="majorEastAsia" w:hAnsi="Times New Roman" w:cstheme="majorBidi"/>
      <w:b/>
      <w:bCs/>
      <w:sz w:val="24"/>
      <w:szCs w:val="28"/>
    </w:rPr>
  </w:style>
  <w:style w:type="table" w:styleId="a4">
    <w:name w:val="Table Grid"/>
    <w:basedOn w:val="a1"/>
    <w:uiPriority w:val="59"/>
    <w:rsid w:val="00253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73CFB"/>
    <w:pPr>
      <w:ind w:left="720"/>
      <w:contextualSpacing/>
    </w:pPr>
  </w:style>
  <w:style w:type="table" w:customStyle="1" w:styleId="12">
    <w:name w:val="Мрежа в таблица1"/>
    <w:basedOn w:val="a1"/>
    <w:next w:val="a4"/>
    <w:uiPriority w:val="59"/>
    <w:rsid w:val="00D73CFB"/>
    <w:pPr>
      <w:spacing w:after="0" w:line="240" w:lineRule="auto"/>
    </w:pPr>
    <w:rPr>
      <w:rFonts w:eastAsia="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74D26"/>
    <w:pPr>
      <w:tabs>
        <w:tab w:val="center" w:pos="4536"/>
        <w:tab w:val="right" w:pos="9072"/>
      </w:tabs>
      <w:spacing w:after="0" w:line="240" w:lineRule="auto"/>
    </w:pPr>
  </w:style>
  <w:style w:type="character" w:customStyle="1" w:styleId="a8">
    <w:name w:val="Горен колонтитул Знак"/>
    <w:basedOn w:val="a0"/>
    <w:link w:val="a7"/>
    <w:uiPriority w:val="99"/>
    <w:rsid w:val="00774D26"/>
  </w:style>
  <w:style w:type="paragraph" w:styleId="a9">
    <w:name w:val="footer"/>
    <w:basedOn w:val="a"/>
    <w:link w:val="aa"/>
    <w:uiPriority w:val="99"/>
    <w:unhideWhenUsed/>
    <w:rsid w:val="00774D26"/>
    <w:pPr>
      <w:tabs>
        <w:tab w:val="center" w:pos="4536"/>
        <w:tab w:val="right" w:pos="9072"/>
      </w:tabs>
      <w:spacing w:after="0" w:line="240" w:lineRule="auto"/>
    </w:pPr>
  </w:style>
  <w:style w:type="character" w:customStyle="1" w:styleId="aa">
    <w:name w:val="Долен колонтитул Знак"/>
    <w:basedOn w:val="a0"/>
    <w:link w:val="a9"/>
    <w:uiPriority w:val="99"/>
    <w:rsid w:val="00774D26"/>
  </w:style>
  <w:style w:type="paragraph" w:styleId="ab">
    <w:name w:val="Balloon Text"/>
    <w:basedOn w:val="a"/>
    <w:link w:val="ac"/>
    <w:uiPriority w:val="99"/>
    <w:semiHidden/>
    <w:unhideWhenUsed/>
    <w:rsid w:val="00CE569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CE5690"/>
    <w:rPr>
      <w:rFonts w:ascii="Tahoma" w:hAnsi="Tahoma" w:cs="Tahoma"/>
      <w:sz w:val="16"/>
      <w:szCs w:val="16"/>
    </w:rPr>
  </w:style>
  <w:style w:type="character" w:customStyle="1" w:styleId="a6">
    <w:name w:val="Списък на абзаци Знак"/>
    <w:link w:val="a5"/>
    <w:uiPriority w:val="34"/>
    <w:locked/>
    <w:rsid w:val="009C5892"/>
  </w:style>
  <w:style w:type="paragraph" w:styleId="ad">
    <w:name w:val="TOC Heading"/>
    <w:basedOn w:val="1"/>
    <w:next w:val="a"/>
    <w:uiPriority w:val="39"/>
    <w:semiHidden/>
    <w:unhideWhenUsed/>
    <w:qFormat/>
    <w:rsid w:val="005D1794"/>
    <w:pPr>
      <w:outlineLvl w:val="9"/>
    </w:pPr>
    <w:rPr>
      <w:rFonts w:asciiTheme="majorHAnsi" w:hAnsiTheme="majorHAnsi"/>
      <w:color w:val="2F5496" w:themeColor="accent1" w:themeShade="BF"/>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2991">
      <w:bodyDiv w:val="1"/>
      <w:marLeft w:val="0"/>
      <w:marRight w:val="0"/>
      <w:marTop w:val="0"/>
      <w:marBottom w:val="0"/>
      <w:divBdr>
        <w:top w:val="none" w:sz="0" w:space="0" w:color="auto"/>
        <w:left w:val="none" w:sz="0" w:space="0" w:color="auto"/>
        <w:bottom w:val="none" w:sz="0" w:space="0" w:color="auto"/>
        <w:right w:val="none" w:sz="0" w:space="0" w:color="auto"/>
      </w:divBdr>
    </w:div>
    <w:div w:id="1560095536">
      <w:bodyDiv w:val="1"/>
      <w:marLeft w:val="0"/>
      <w:marRight w:val="0"/>
      <w:marTop w:val="0"/>
      <w:marBottom w:val="0"/>
      <w:divBdr>
        <w:top w:val="none" w:sz="0" w:space="0" w:color="auto"/>
        <w:left w:val="none" w:sz="0" w:space="0" w:color="auto"/>
        <w:bottom w:val="none" w:sz="0" w:space="0" w:color="auto"/>
        <w:right w:val="none" w:sz="0" w:space="0" w:color="auto"/>
      </w:divBdr>
    </w:div>
    <w:div w:id="18817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C06D1-9DB5-4662-B285-4FB4DB9A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6234</Words>
  <Characters>35535</Characters>
  <Application>Microsoft Office Word</Application>
  <DocSecurity>0</DocSecurity>
  <Lines>296</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Лучко Македонски</dc:creator>
  <cp:keywords/>
  <dc:description/>
  <cp:lastModifiedBy>DELL</cp:lastModifiedBy>
  <cp:revision>37</cp:revision>
  <dcterms:created xsi:type="dcterms:W3CDTF">2018-01-25T06:47:00Z</dcterms:created>
  <dcterms:modified xsi:type="dcterms:W3CDTF">2022-04-19T08:39:00Z</dcterms:modified>
</cp:coreProperties>
</file>