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6E7" w:rsidRPr="00E346E7" w:rsidRDefault="00E346E7" w:rsidP="00E346E7">
      <w:pPr>
        <w:jc w:val="center"/>
        <w:rPr>
          <w:b/>
          <w:sz w:val="36"/>
        </w:rPr>
      </w:pPr>
      <w:r w:rsidRPr="00E346E7">
        <w:rPr>
          <w:b/>
          <w:sz w:val="36"/>
        </w:rPr>
        <w:t>О Б Я В А</w:t>
      </w:r>
    </w:p>
    <w:p w:rsidR="00E346E7" w:rsidRPr="00E346E7" w:rsidRDefault="00E346E7" w:rsidP="00E346E7">
      <w:pPr>
        <w:jc w:val="center"/>
        <w:rPr>
          <w:b/>
          <w:sz w:val="28"/>
        </w:rPr>
      </w:pPr>
      <w:r w:rsidRPr="00E346E7">
        <w:rPr>
          <w:b/>
          <w:sz w:val="28"/>
        </w:rPr>
        <w:t>за подаване на проектни предложения чрез процедура за подбор на</w:t>
      </w:r>
    </w:p>
    <w:p w:rsidR="00E346E7" w:rsidRDefault="00E346E7" w:rsidP="00E346E7">
      <w:pPr>
        <w:jc w:val="center"/>
        <w:rPr>
          <w:b/>
          <w:sz w:val="28"/>
        </w:rPr>
      </w:pPr>
      <w:r w:rsidRPr="00E346E7">
        <w:rPr>
          <w:b/>
          <w:sz w:val="28"/>
        </w:rPr>
        <w:t>проекти BG16RFOP002-</w:t>
      </w:r>
      <w:r w:rsidR="00F94C39">
        <w:rPr>
          <w:b/>
          <w:sz w:val="28"/>
        </w:rPr>
        <w:t>2.0</w:t>
      </w:r>
      <w:r w:rsidRPr="00E346E7">
        <w:rPr>
          <w:b/>
          <w:sz w:val="28"/>
        </w:rPr>
        <w:t>3</w:t>
      </w:r>
      <w:r w:rsidR="00F94C39">
        <w:rPr>
          <w:b/>
          <w:sz w:val="28"/>
        </w:rPr>
        <w:t>0 - МИГ „Минерални бани – Черноочене“</w:t>
      </w:r>
      <w:r w:rsidRPr="00E346E7">
        <w:rPr>
          <w:b/>
          <w:sz w:val="28"/>
        </w:rPr>
        <w:t xml:space="preserve"> – Мярка </w:t>
      </w:r>
      <w:r w:rsidR="00F94C39">
        <w:rPr>
          <w:b/>
          <w:sz w:val="28"/>
        </w:rPr>
        <w:t>ОПИК</w:t>
      </w:r>
      <w:r w:rsidRPr="00E346E7">
        <w:rPr>
          <w:b/>
          <w:sz w:val="28"/>
        </w:rPr>
        <w:t xml:space="preserve"> „</w:t>
      </w:r>
      <w:r w:rsidR="00F94C39">
        <w:rPr>
          <w:b/>
          <w:sz w:val="28"/>
        </w:rPr>
        <w:t>Подобряване на производствения капацитет</w:t>
      </w:r>
      <w:r w:rsidRPr="00E346E7">
        <w:rPr>
          <w:b/>
          <w:sz w:val="28"/>
        </w:rPr>
        <w:t xml:space="preserve"> в МСП“</w:t>
      </w:r>
    </w:p>
    <w:p w:rsidR="00E346E7" w:rsidRPr="00E346E7" w:rsidRDefault="00E346E7" w:rsidP="00E346E7">
      <w:pPr>
        <w:jc w:val="center"/>
        <w:rPr>
          <w:b/>
          <w:sz w:val="28"/>
        </w:rPr>
      </w:pPr>
    </w:p>
    <w:p w:rsidR="00E346E7" w:rsidRPr="00E346E7" w:rsidRDefault="00E346E7" w:rsidP="00E346E7">
      <w:pPr>
        <w:jc w:val="center"/>
        <w:rPr>
          <w:b/>
          <w:sz w:val="28"/>
        </w:rPr>
      </w:pPr>
      <w:r w:rsidRPr="00E346E7">
        <w:rPr>
          <w:b/>
          <w:sz w:val="28"/>
        </w:rPr>
        <w:t>ВОМР с подкрепата на ОПЕРАТИВНА ПРОГРАМА</w:t>
      </w:r>
    </w:p>
    <w:p w:rsidR="00E346E7" w:rsidRDefault="00E346E7" w:rsidP="00E346E7">
      <w:pPr>
        <w:jc w:val="center"/>
        <w:rPr>
          <w:b/>
          <w:sz w:val="28"/>
        </w:rPr>
      </w:pPr>
      <w:r w:rsidRPr="00E346E7">
        <w:rPr>
          <w:b/>
          <w:sz w:val="28"/>
        </w:rPr>
        <w:t>„ИНОВАЦИИ И КОНКУРЕНТОСПОСОБНОСТ“ 2014 – 2020</w:t>
      </w:r>
    </w:p>
    <w:p w:rsidR="00E346E7" w:rsidRDefault="00E346E7" w:rsidP="00E346E7">
      <w:pPr>
        <w:jc w:val="center"/>
      </w:pPr>
    </w:p>
    <w:p w:rsidR="00E346E7" w:rsidRDefault="00E346E7" w:rsidP="00E346E7">
      <w:pPr>
        <w:jc w:val="both"/>
      </w:pPr>
      <w:r>
        <w:t xml:space="preserve">СНЦ “Местна инициативна група </w:t>
      </w:r>
      <w:r w:rsidR="00F94C39">
        <w:t>Минерални бани - Черноочене</w:t>
      </w:r>
      <w:r>
        <w:t>”, кани желаещите да представят проектни предложения по мяр</w:t>
      </w:r>
      <w:r w:rsidR="00F94C39">
        <w:t>ка ОПИК</w:t>
      </w:r>
      <w:r>
        <w:t xml:space="preserve"> „</w:t>
      </w:r>
      <w:r w:rsidR="00F94C39">
        <w:t>Подобряване на производствения капацитет</w:t>
      </w:r>
      <w:r>
        <w:t xml:space="preserve"> в МСП“ от стратегията за ВОМР на МИГ </w:t>
      </w:r>
      <w:r w:rsidR="00F94C39">
        <w:t>„Минерални бани – Черноочене“</w:t>
      </w:r>
      <w:r>
        <w:t xml:space="preserve">, като </w:t>
      </w:r>
      <w:r w:rsidRPr="00E346E7">
        <w:rPr>
          <w:b/>
        </w:rPr>
        <w:t>ОБЯВЯВА</w:t>
      </w:r>
      <w:r>
        <w:t xml:space="preserve"> процедура на подбор на проекти за безвъзмездна финансова помощ № </w:t>
      </w:r>
      <w:r w:rsidRPr="00E346E7">
        <w:rPr>
          <w:b/>
        </w:rPr>
        <w:t>BG16RFOP002-2.03</w:t>
      </w:r>
      <w:r w:rsidR="00F94C39">
        <w:rPr>
          <w:b/>
        </w:rPr>
        <w:t>0</w:t>
      </w:r>
      <w:r w:rsidRPr="00E346E7">
        <w:rPr>
          <w:b/>
        </w:rPr>
        <w:t xml:space="preserve"> - МИГ </w:t>
      </w:r>
      <w:r w:rsidR="00F94C39">
        <w:rPr>
          <w:b/>
        </w:rPr>
        <w:t>„Минерални бани – Черноочене“</w:t>
      </w:r>
      <w:r w:rsidRPr="00E346E7">
        <w:rPr>
          <w:b/>
        </w:rPr>
        <w:t xml:space="preserve"> – Мярка </w:t>
      </w:r>
      <w:r w:rsidR="00F94C39">
        <w:rPr>
          <w:b/>
        </w:rPr>
        <w:t>ОПИК</w:t>
      </w:r>
      <w:r w:rsidRPr="00E346E7">
        <w:rPr>
          <w:b/>
        </w:rPr>
        <w:t xml:space="preserve"> „</w:t>
      </w:r>
      <w:r w:rsidR="00F94C39" w:rsidRPr="00F94C39">
        <w:rPr>
          <w:b/>
        </w:rPr>
        <w:t>Подобряване на произв</w:t>
      </w:r>
      <w:r w:rsidR="00F94C39">
        <w:rPr>
          <w:b/>
        </w:rPr>
        <w:t>о</w:t>
      </w:r>
      <w:r w:rsidR="00F94C39" w:rsidRPr="00F94C39">
        <w:rPr>
          <w:b/>
        </w:rPr>
        <w:t>дствения капацитет в МСП</w:t>
      </w:r>
      <w:r w:rsidRPr="00E346E7">
        <w:rPr>
          <w:b/>
        </w:rPr>
        <w:t>“</w:t>
      </w:r>
      <w:r>
        <w:t>.</w:t>
      </w:r>
    </w:p>
    <w:p w:rsidR="00E346E7" w:rsidRDefault="00E346E7" w:rsidP="00E346E7">
      <w:pPr>
        <w:jc w:val="both"/>
      </w:pPr>
    </w:p>
    <w:p w:rsidR="00E346E7" w:rsidRDefault="00E346E7" w:rsidP="00E346E7">
      <w:pPr>
        <w:jc w:val="both"/>
      </w:pPr>
      <w:r>
        <w:t xml:space="preserve">Основната </w:t>
      </w:r>
      <w:r w:rsidR="00F94C39">
        <w:t>цел</w:t>
      </w:r>
      <w:r w:rsidR="00F94C39" w:rsidRPr="00F94C39">
        <w:t xml:space="preserve"> на настоящата процедура е директно свързана с постигането на специфичната цел „Разширяване на производствения капацитет и подобряване на конкурентоспособността на малките и средни предприятия на територията на МИГ „Минерални бани – Черноочене“ чрез повишаване на производствения им капацитет и засилване на експортния им потенциал.</w:t>
      </w:r>
    </w:p>
    <w:p w:rsidR="00E346E7" w:rsidRDefault="00E346E7" w:rsidP="00E346E7">
      <w:pPr>
        <w:jc w:val="both"/>
        <w:rPr>
          <w:sz w:val="4"/>
          <w:szCs w:val="4"/>
        </w:rPr>
      </w:pPr>
    </w:p>
    <w:p w:rsidR="00DA00CF" w:rsidRDefault="00DA00CF" w:rsidP="00E346E7">
      <w:pPr>
        <w:jc w:val="both"/>
        <w:rPr>
          <w:sz w:val="4"/>
          <w:szCs w:val="4"/>
        </w:rPr>
      </w:pPr>
    </w:p>
    <w:p w:rsidR="00DA00CF" w:rsidRPr="00DA00CF" w:rsidRDefault="00DA00CF" w:rsidP="00E346E7">
      <w:pPr>
        <w:jc w:val="both"/>
        <w:rPr>
          <w:sz w:val="4"/>
          <w:szCs w:val="4"/>
        </w:rPr>
      </w:pPr>
    </w:p>
    <w:p w:rsidR="00E346E7" w:rsidRDefault="00F94C39" w:rsidP="00E346E7">
      <w:pPr>
        <w:jc w:val="both"/>
      </w:pPr>
      <w:r w:rsidRPr="008F32C4">
        <w:rPr>
          <w:color w:val="000000"/>
          <w:lang w:eastAsia="bg-BG"/>
        </w:rPr>
        <w:t xml:space="preserve">Процедурата е във връзка с изпълнението на Приоритетна ос </w:t>
      </w:r>
      <w:r w:rsidR="00DA00CF">
        <w:rPr>
          <w:color w:val="000000"/>
          <w:lang w:eastAsia="bg-BG"/>
        </w:rPr>
        <w:t>2</w:t>
      </w:r>
      <w:r w:rsidRPr="008F32C4">
        <w:rPr>
          <w:color w:val="000000"/>
          <w:lang w:eastAsia="bg-BG"/>
        </w:rPr>
        <w:t xml:space="preserve"> „</w:t>
      </w:r>
      <w:r w:rsidR="00DA00CF">
        <w:rPr>
          <w:color w:val="000000"/>
          <w:lang w:eastAsia="bg-BG"/>
        </w:rPr>
        <w:t>Предприемачество и капацитет за растеж на МСП</w:t>
      </w:r>
      <w:r w:rsidRPr="008F32C4">
        <w:rPr>
          <w:color w:val="000000"/>
          <w:lang w:eastAsia="bg-BG"/>
        </w:rPr>
        <w:t>", Инвестиционен приоритет 2.2 „Капацитет за растеж на МСП" на Оперативна програма „Иновации и конкурентоспособност“</w:t>
      </w:r>
      <w:r>
        <w:rPr>
          <w:color w:val="000000"/>
          <w:lang w:eastAsia="bg-BG"/>
        </w:rPr>
        <w:t>, Специфична цел 7</w:t>
      </w:r>
      <w:r w:rsidRPr="008F32C4">
        <w:rPr>
          <w:color w:val="000000"/>
          <w:lang w:eastAsia="bg-BG"/>
        </w:rPr>
        <w:t>  „</w:t>
      </w:r>
      <w:r w:rsidRPr="005108C0">
        <w:rPr>
          <w:color w:val="000000"/>
          <w:lang w:eastAsia="bg-BG"/>
        </w:rPr>
        <w:t>Разширяване на производствения капацитет на малки и средни промишлени предприятия</w:t>
      </w:r>
      <w:r w:rsidRPr="008F32C4">
        <w:rPr>
          <w:color w:val="000000"/>
          <w:lang w:eastAsia="bg-BG"/>
        </w:rPr>
        <w:t xml:space="preserve">“ от Стратегията за Водено от общностите местно развитие, изпълнявана на територията на община </w:t>
      </w:r>
      <w:r>
        <w:rPr>
          <w:color w:val="000000"/>
          <w:lang w:eastAsia="bg-BG"/>
        </w:rPr>
        <w:t>Минерални бани и община Черноочене</w:t>
      </w:r>
      <w:r w:rsidRPr="008F32C4">
        <w:rPr>
          <w:color w:val="000000"/>
          <w:lang w:eastAsia="bg-BG"/>
        </w:rPr>
        <w:t>.</w:t>
      </w:r>
    </w:p>
    <w:p w:rsidR="00E346E7" w:rsidRDefault="00E346E7" w:rsidP="00E346E7">
      <w:pPr>
        <w:rPr>
          <w:sz w:val="4"/>
          <w:szCs w:val="4"/>
        </w:rPr>
      </w:pPr>
    </w:p>
    <w:p w:rsidR="00DA00CF" w:rsidRDefault="00DA00CF" w:rsidP="00E346E7">
      <w:pPr>
        <w:rPr>
          <w:sz w:val="4"/>
          <w:szCs w:val="4"/>
        </w:rPr>
      </w:pPr>
    </w:p>
    <w:p w:rsidR="00DA00CF" w:rsidRPr="00DA00CF" w:rsidRDefault="00DA00CF" w:rsidP="00E346E7">
      <w:pPr>
        <w:rPr>
          <w:sz w:val="4"/>
          <w:szCs w:val="4"/>
        </w:rPr>
      </w:pPr>
    </w:p>
    <w:p w:rsidR="00E346E7" w:rsidRDefault="00E346E7" w:rsidP="00E346E7">
      <w:pPr>
        <w:jc w:val="both"/>
      </w:pPr>
      <w:r>
        <w:t>Приложимият режим на помощ по настоящата процедура за подбор на проекти е помощ „de minimis” съгласно Регламент (ЕС) № 1407/2013 на Комисията от 18 декември 2013 г. относно прилагането на членове 107 и 108 от Договора за функциониране на Европейския съюз към помощта „de minimis“.</w:t>
      </w:r>
    </w:p>
    <w:p w:rsidR="00E346E7" w:rsidRDefault="00E346E7" w:rsidP="00E346E7">
      <w:pPr>
        <w:rPr>
          <w:sz w:val="4"/>
          <w:szCs w:val="4"/>
        </w:rPr>
      </w:pPr>
    </w:p>
    <w:p w:rsidR="00DA00CF" w:rsidRDefault="00DA00CF" w:rsidP="00E346E7">
      <w:pPr>
        <w:rPr>
          <w:sz w:val="4"/>
          <w:szCs w:val="4"/>
        </w:rPr>
      </w:pPr>
    </w:p>
    <w:p w:rsidR="00DA00CF" w:rsidRPr="00DA00CF" w:rsidRDefault="00DA00CF" w:rsidP="00E346E7">
      <w:pPr>
        <w:rPr>
          <w:sz w:val="4"/>
          <w:szCs w:val="4"/>
        </w:rPr>
      </w:pPr>
    </w:p>
    <w:p w:rsidR="00E346E7" w:rsidRDefault="00E346E7" w:rsidP="00E346E7">
      <w:pPr>
        <w:jc w:val="both"/>
      </w:pPr>
      <w:r>
        <w:t xml:space="preserve">Процедурата за безвъзмездна финансова помощ се реализира с </w:t>
      </w:r>
      <w:r w:rsidRPr="00E346E7">
        <w:rPr>
          <w:b/>
        </w:rPr>
        <w:t>финансовата подкрепа на Европейския съюз чрез Европейския фонд за регионално развитие.</w:t>
      </w:r>
    </w:p>
    <w:p w:rsidR="00E346E7" w:rsidRPr="00DA00CF" w:rsidRDefault="00E346E7" w:rsidP="00E346E7">
      <w:pPr>
        <w:jc w:val="both"/>
        <w:rPr>
          <w:sz w:val="4"/>
          <w:szCs w:val="4"/>
        </w:rPr>
      </w:pPr>
    </w:p>
    <w:p w:rsidR="00E346E7" w:rsidRDefault="00E346E7" w:rsidP="00E346E7">
      <w:pPr>
        <w:jc w:val="both"/>
      </w:pPr>
      <w:r>
        <w:t xml:space="preserve">Общият размер на безвъзмездната финансова помощ по процедурата </w:t>
      </w:r>
      <w:r w:rsidRPr="00E346E7">
        <w:rPr>
          <w:b/>
        </w:rPr>
        <w:t>8</w:t>
      </w:r>
      <w:r w:rsidR="00F94C39">
        <w:rPr>
          <w:b/>
        </w:rPr>
        <w:t>21 448</w:t>
      </w:r>
      <w:r w:rsidR="00F9368A">
        <w:rPr>
          <w:b/>
        </w:rPr>
        <w:t>,00</w:t>
      </w:r>
      <w:r w:rsidRPr="00E346E7">
        <w:rPr>
          <w:b/>
        </w:rPr>
        <w:t xml:space="preserve"> лв.</w:t>
      </w:r>
      <w:r>
        <w:t xml:space="preserve"> Минималният размер на заявената безвъзмездна финансова помощ е </w:t>
      </w:r>
      <w:r w:rsidR="00F94C39" w:rsidRPr="00F94C39">
        <w:rPr>
          <w:b/>
        </w:rPr>
        <w:t>88</w:t>
      </w:r>
      <w:r w:rsidRPr="00E346E7">
        <w:rPr>
          <w:b/>
        </w:rPr>
        <w:t xml:space="preserve"> 0</w:t>
      </w:r>
      <w:r w:rsidR="00F94C39">
        <w:rPr>
          <w:b/>
        </w:rPr>
        <w:t>12</w:t>
      </w:r>
      <w:r w:rsidRPr="00E346E7">
        <w:rPr>
          <w:b/>
        </w:rPr>
        <w:t>,</w:t>
      </w:r>
      <w:r w:rsidR="00F94C39">
        <w:rPr>
          <w:b/>
        </w:rPr>
        <w:t>35</w:t>
      </w:r>
      <w:r w:rsidRPr="00E346E7">
        <w:rPr>
          <w:b/>
        </w:rPr>
        <w:t xml:space="preserve"> лв.</w:t>
      </w:r>
      <w:r>
        <w:t xml:space="preserve"> Максималният размер на заявената безвъзмездна финансова помощ е </w:t>
      </w:r>
      <w:r w:rsidRPr="00E346E7">
        <w:rPr>
          <w:b/>
        </w:rPr>
        <w:t>352 049,40 лв</w:t>
      </w:r>
      <w:r>
        <w:t xml:space="preserve">. Максималният размер на общите допустимите разходи за един проект е </w:t>
      </w:r>
      <w:r w:rsidRPr="00E346E7">
        <w:rPr>
          <w:b/>
        </w:rPr>
        <w:t>391 166,00 лв</w:t>
      </w:r>
      <w:r>
        <w:t xml:space="preserve">. Максималният интензитет на помощта е </w:t>
      </w:r>
      <w:r w:rsidRPr="00E346E7">
        <w:rPr>
          <w:b/>
        </w:rPr>
        <w:t>90%.</w:t>
      </w:r>
    </w:p>
    <w:p w:rsidR="00E346E7" w:rsidRPr="00DA00CF" w:rsidRDefault="00E346E7" w:rsidP="00E346E7">
      <w:pPr>
        <w:jc w:val="both"/>
        <w:rPr>
          <w:sz w:val="4"/>
          <w:szCs w:val="4"/>
        </w:rPr>
      </w:pPr>
    </w:p>
    <w:p w:rsidR="00E346E7" w:rsidRDefault="00E346E7" w:rsidP="00E346E7">
      <w:r>
        <w:t xml:space="preserve">Допустими по процедурата са проекти, включващи следните </w:t>
      </w:r>
      <w:r w:rsidRPr="00E346E7">
        <w:rPr>
          <w:b/>
        </w:rPr>
        <w:t>дейности</w:t>
      </w:r>
      <w:r>
        <w:t>:</w:t>
      </w:r>
    </w:p>
    <w:p w:rsidR="00DA00CF" w:rsidRDefault="00DA00CF" w:rsidP="00E346E7">
      <w:bookmarkStart w:id="0" w:name="_GoBack"/>
      <w:bookmarkEnd w:id="0"/>
    </w:p>
    <w:p w:rsidR="00E346E7" w:rsidRDefault="00DA00CF" w:rsidP="00E346E7">
      <w:pPr>
        <w:jc w:val="both"/>
      </w:pPr>
      <w:r>
        <w:rPr>
          <w:lang w:val="en-US"/>
        </w:rPr>
        <w:t>I</w:t>
      </w:r>
      <w:r w:rsidR="00E346E7">
        <w:t xml:space="preserve">. Подкрепа за общи производствени инвестиции за подобряване на производствения капацитет за растеж чрез ефективното и ефикасно използване на факторите на производство и чрез </w:t>
      </w:r>
      <w:r w:rsidR="00E346E7">
        <w:lastRenderedPageBreak/>
        <w:t>изграждането на възможности за възприемане и адаптиране на европейски и международни знания и технологии</w:t>
      </w:r>
      <w:r>
        <w:t>, включваща:</w:t>
      </w:r>
    </w:p>
    <w:p w:rsidR="00E346E7" w:rsidRDefault="00F94C39" w:rsidP="00E346E7">
      <w:pPr>
        <w:jc w:val="both"/>
      </w:pPr>
      <w:r>
        <w:tab/>
        <w:t>1. П</w:t>
      </w:r>
      <w:r w:rsidRPr="00883971">
        <w:t>одобряв</w:t>
      </w:r>
      <w:r w:rsidR="00DA00CF">
        <w:t>ане на производствените процеси:</w:t>
      </w:r>
    </w:p>
    <w:p w:rsidR="00DA00CF" w:rsidRPr="00DA00CF" w:rsidRDefault="00DA00CF" w:rsidP="00E346E7">
      <w:pPr>
        <w:jc w:val="both"/>
        <w:rPr>
          <w:i/>
        </w:rPr>
      </w:pPr>
      <w:r w:rsidRPr="00DA00CF">
        <w:rPr>
          <w:i/>
        </w:rPr>
        <w:tab/>
      </w:r>
      <w:r>
        <w:rPr>
          <w:i/>
        </w:rPr>
        <w:tab/>
      </w:r>
      <w:r w:rsidRPr="00DA00CF">
        <w:rPr>
          <w:i/>
          <w:lang w:val="en-US"/>
        </w:rPr>
        <w:t>1</w:t>
      </w:r>
      <w:r w:rsidRPr="00DA00CF">
        <w:rPr>
          <w:i/>
        </w:rPr>
        <w:t>.1. Повишаване на производителността; и/или</w:t>
      </w:r>
    </w:p>
    <w:p w:rsidR="00DA00CF" w:rsidRPr="00DA00CF" w:rsidRDefault="00DA00CF" w:rsidP="00E346E7">
      <w:pPr>
        <w:jc w:val="both"/>
      </w:pPr>
      <w:r>
        <w:rPr>
          <w:i/>
        </w:rPr>
        <w:tab/>
      </w:r>
      <w:r>
        <w:rPr>
          <w:i/>
        </w:rPr>
        <w:tab/>
        <w:t xml:space="preserve">1.2. </w:t>
      </w:r>
      <w:r>
        <w:rPr>
          <w:i/>
        </w:rPr>
        <w:t>Подобряване на производствените процеси чрез инвестиции в ДМА и ДНА</w:t>
      </w:r>
    </w:p>
    <w:p w:rsidR="00F94C39" w:rsidRDefault="00DA00CF" w:rsidP="00E346E7">
      <w:pPr>
        <w:jc w:val="both"/>
      </w:pPr>
      <w:r>
        <w:tab/>
      </w:r>
      <w:r w:rsidR="00F94C39">
        <w:t>2. Д</w:t>
      </w:r>
      <w:r w:rsidR="00F94C39" w:rsidRPr="00883971">
        <w:t>обавяне на нови характеристики или подобряване на съществуващите продукти и услуги</w:t>
      </w:r>
      <w:r w:rsidR="00F94C39">
        <w:t>;</w:t>
      </w:r>
    </w:p>
    <w:p w:rsidR="00F94C39" w:rsidRDefault="00DA00CF" w:rsidP="00E346E7">
      <w:pPr>
        <w:jc w:val="both"/>
      </w:pPr>
      <w:r>
        <w:tab/>
      </w:r>
      <w:r w:rsidR="00F94C39">
        <w:t>3. Р</w:t>
      </w:r>
      <w:r w:rsidR="00F94C39" w:rsidRPr="00883971">
        <w:t>азнообразяване на асортимента от про</w:t>
      </w:r>
      <w:r>
        <w:t>дукти и услуги на предприятията:</w:t>
      </w:r>
    </w:p>
    <w:p w:rsidR="00DA00CF" w:rsidRPr="00DA00CF" w:rsidRDefault="00DA00CF" w:rsidP="00E346E7">
      <w:pPr>
        <w:jc w:val="both"/>
        <w:rPr>
          <w:i/>
        </w:rPr>
      </w:pPr>
      <w:r>
        <w:tab/>
      </w:r>
      <w:r>
        <w:tab/>
      </w:r>
      <w:r w:rsidRPr="00DA00CF">
        <w:rPr>
          <w:i/>
        </w:rPr>
        <w:t xml:space="preserve">3.1. </w:t>
      </w:r>
      <w:r w:rsidRPr="00DA00CF">
        <w:rPr>
          <w:i/>
        </w:rPr>
        <w:t>Диверсификация на дейността чрез разнообразяване на портфолиото на предприятията и достъп до пазари</w:t>
      </w:r>
    </w:p>
    <w:p w:rsidR="00F94C39" w:rsidRDefault="00DA00CF" w:rsidP="00E346E7">
      <w:pPr>
        <w:jc w:val="both"/>
      </w:pPr>
      <w:r>
        <w:tab/>
      </w:r>
      <w:r w:rsidR="00F94C39">
        <w:t>4. В</w:t>
      </w:r>
      <w:r w:rsidR="00F94C39" w:rsidRPr="00883971">
        <w:t>недряване на нови технологии за подобряване на ресурсната ефективност и ефикасност в производствения процес</w:t>
      </w:r>
      <w:r>
        <w:t>:</w:t>
      </w:r>
    </w:p>
    <w:p w:rsidR="00DA00CF" w:rsidRDefault="00DA00CF" w:rsidP="00E346E7">
      <w:pPr>
        <w:jc w:val="both"/>
      </w:pPr>
      <w:r>
        <w:tab/>
      </w:r>
      <w:r>
        <w:tab/>
      </w:r>
      <w:r>
        <w:rPr>
          <w:i/>
        </w:rPr>
        <w:t>4.1. Въвеждане на водещи технологични решения и/или реинженеринг на процеси, включително чрез въвеждане на добри практики/технологични методи/технологии/процеси за намаляване консумацията на природни ресурси, без отпадни технологии, оползотворяване на вторични суровини и производствените отпадъци, регенериране и др.</w:t>
      </w:r>
    </w:p>
    <w:p w:rsidR="00F94C39" w:rsidRDefault="00F94C39" w:rsidP="00E346E7">
      <w:pPr>
        <w:jc w:val="both"/>
      </w:pPr>
    </w:p>
    <w:p w:rsidR="00E346E7" w:rsidRDefault="00E346E7" w:rsidP="00E346E7">
      <w:pPr>
        <w:jc w:val="both"/>
      </w:pPr>
      <w:r>
        <w:t xml:space="preserve">Проектите ще се изпълняват на територията на МИГ </w:t>
      </w:r>
      <w:r w:rsidR="00F94C39">
        <w:t>„Минерални бани – Черноочене“</w:t>
      </w:r>
      <w:r>
        <w:t xml:space="preserve">. </w:t>
      </w:r>
    </w:p>
    <w:p w:rsidR="00E346E7" w:rsidRDefault="00E346E7" w:rsidP="00E346E7">
      <w:pPr>
        <w:jc w:val="both"/>
      </w:pPr>
    </w:p>
    <w:p w:rsidR="00E346E7" w:rsidRDefault="00E346E7" w:rsidP="00E346E7">
      <w:pPr>
        <w:jc w:val="both"/>
      </w:pPr>
      <w:r>
        <w:t xml:space="preserve">Подаването на проектното предложение по настоящата процедура се извършва по изцяло  електронен път чрез попълване и подаване на уеб базиран формуляр за кандидатстване чрез чрез </w:t>
      </w:r>
      <w:r w:rsidRPr="00F35BA9">
        <w:rPr>
          <w:b/>
        </w:rPr>
        <w:t>Информационната система за управление и наблюдение на Структурните инструменти на ЕС в България (ИСУН 2020)</w:t>
      </w:r>
      <w:r>
        <w:t xml:space="preserve"> единствено с използването на валиден Квалифициран електронен подпис (КЕП), чрез модула „Е-кандидатстване“ на следния интернет адрес: </w:t>
      </w:r>
      <w:hyperlink r:id="rId7" w:history="1">
        <w:r w:rsidRPr="00F35BA9">
          <w:rPr>
            <w:rStyle w:val="Hyperlink"/>
            <w:b/>
            <w:color w:val="0000FF"/>
          </w:rPr>
          <w:t>https://eumis2020.government.bg</w:t>
        </w:r>
      </w:hyperlink>
      <w:r>
        <w:t>.</w:t>
      </w:r>
    </w:p>
    <w:p w:rsidR="00E346E7" w:rsidRDefault="00E346E7" w:rsidP="00E346E7">
      <w:pPr>
        <w:jc w:val="both"/>
      </w:pPr>
    </w:p>
    <w:p w:rsidR="00E346E7" w:rsidRDefault="00E346E7" w:rsidP="00E346E7">
      <w:pPr>
        <w:jc w:val="both"/>
      </w:pPr>
      <w:r>
        <w:t xml:space="preserve">Процедурата е с </w:t>
      </w:r>
      <w:r w:rsidRPr="00E346E7">
        <w:rPr>
          <w:b/>
        </w:rPr>
        <w:t>два крайни срока</w:t>
      </w:r>
      <w:r>
        <w:t xml:space="preserve"> за подаване на проектни предложения:</w:t>
      </w:r>
    </w:p>
    <w:p w:rsidR="00E346E7" w:rsidRDefault="00E346E7" w:rsidP="00E346E7">
      <w:pPr>
        <w:pStyle w:val="ListParagraph"/>
        <w:numPr>
          <w:ilvl w:val="0"/>
          <w:numId w:val="26"/>
        </w:numPr>
        <w:jc w:val="both"/>
      </w:pPr>
      <w:r>
        <w:t>Първи краен срок за</w:t>
      </w:r>
      <w:r w:rsidR="00F35BA9">
        <w:t xml:space="preserve"> представяне на предложенията: 12</w:t>
      </w:r>
      <w:r>
        <w:t>.1</w:t>
      </w:r>
      <w:r w:rsidR="00F35BA9">
        <w:t>1</w:t>
      </w:r>
      <w:r>
        <w:t>.2018 г., 17:00 ч.</w:t>
      </w:r>
    </w:p>
    <w:p w:rsidR="00E346E7" w:rsidRDefault="00E346E7" w:rsidP="00E346E7">
      <w:pPr>
        <w:pStyle w:val="ListParagraph"/>
        <w:numPr>
          <w:ilvl w:val="0"/>
          <w:numId w:val="26"/>
        </w:numPr>
        <w:jc w:val="both"/>
      </w:pPr>
      <w:r>
        <w:t xml:space="preserve">Втори краен срок за </w:t>
      </w:r>
      <w:r w:rsidR="00F35BA9">
        <w:t>представяне на предложенията: 22</w:t>
      </w:r>
      <w:r>
        <w:t>.0</w:t>
      </w:r>
      <w:r w:rsidR="00F35BA9">
        <w:t>4</w:t>
      </w:r>
      <w:r>
        <w:t>.2019 г., 17:00 ч.</w:t>
      </w:r>
    </w:p>
    <w:p w:rsidR="00E346E7" w:rsidRDefault="00E346E7" w:rsidP="00F35BA9">
      <w:pPr>
        <w:jc w:val="both"/>
      </w:pPr>
      <w:r>
        <w:t>Кандидатите могат да задават допълнителни въпроси и да искат разяснения във връзка с Условията за кандидатстване до 3 седмици преди крайния срок за подаване на проектни предложения. Допълнителни въпроси могат да се задават само по електронната поща, посочена по-долу, като ясно се посочва наименованието на процедурата за подбор на проекти:</w:t>
      </w:r>
    </w:p>
    <w:p w:rsidR="00E346E7" w:rsidRDefault="00E346E7" w:rsidP="00E346E7">
      <w:pPr>
        <w:jc w:val="both"/>
      </w:pPr>
      <w:r>
        <w:t xml:space="preserve">Адрес на електронна поща: </w:t>
      </w:r>
      <w:hyperlink r:id="rId8" w:history="1">
        <w:r w:rsidR="00F35BA9" w:rsidRPr="00F35BA9">
          <w:rPr>
            <w:rStyle w:val="Hyperlink"/>
            <w:b/>
            <w:color w:val="0000FF"/>
          </w:rPr>
          <w:t>http://www.mig</w:t>
        </w:r>
        <w:r w:rsidR="00F35BA9" w:rsidRPr="00F35BA9">
          <w:rPr>
            <w:rStyle w:val="Hyperlink"/>
            <w:b/>
            <w:color w:val="0000FF"/>
            <w:lang w:val="en-US"/>
          </w:rPr>
          <w:t>mineralnibani</w:t>
        </w:r>
        <w:r w:rsidR="00F35BA9" w:rsidRPr="00F35BA9">
          <w:rPr>
            <w:rStyle w:val="Hyperlink"/>
            <w:b/>
            <w:color w:val="0000FF"/>
          </w:rPr>
          <w:t>.com</w:t>
        </w:r>
      </w:hyperlink>
      <w:r>
        <w:t xml:space="preserve"> </w:t>
      </w:r>
    </w:p>
    <w:p w:rsidR="00E346E7" w:rsidRDefault="00E346E7" w:rsidP="00E346E7">
      <w:pPr>
        <w:jc w:val="both"/>
      </w:pPr>
    </w:p>
    <w:p w:rsidR="00E346E7" w:rsidRDefault="00E346E7" w:rsidP="00E346E7">
      <w:pPr>
        <w:jc w:val="both"/>
      </w:pPr>
      <w:r>
        <w:t>Няма да бъдат предоставяни отговори на въпроси, зададени по телефона. Няма да бъдат изпращани индивидуални отговори на зададени от кандидатите по процедурата въпроси.</w:t>
      </w:r>
    </w:p>
    <w:p w:rsidR="00E346E7" w:rsidRDefault="00E346E7" w:rsidP="00E346E7">
      <w:pPr>
        <w:jc w:val="both"/>
      </w:pPr>
    </w:p>
    <w:p w:rsidR="00E346E7" w:rsidRDefault="00E346E7" w:rsidP="00E346E7">
      <w:pPr>
        <w:jc w:val="both"/>
      </w:pPr>
      <w:r>
        <w:t>Пълният комплект документи (Условия за кандидат</w:t>
      </w:r>
      <w:r w:rsidR="00F94C39">
        <w:t xml:space="preserve">стване, Условия за изпълнение и </w:t>
      </w:r>
      <w:r>
        <w:t>приложения към тях) по процедурата е публикуван на следните интернет адреси:</w:t>
      </w:r>
    </w:p>
    <w:p w:rsidR="00E346E7" w:rsidRDefault="00E346E7" w:rsidP="00F35BA9">
      <w:pPr>
        <w:pStyle w:val="ListParagraph"/>
        <w:numPr>
          <w:ilvl w:val="0"/>
          <w:numId w:val="27"/>
        </w:numPr>
        <w:jc w:val="both"/>
      </w:pPr>
      <w:r>
        <w:t xml:space="preserve">интернет страницата на МИГ </w:t>
      </w:r>
      <w:r w:rsidR="00F35BA9">
        <w:t>„Минерални бани – Черноочене“</w:t>
      </w:r>
      <w:r w:rsidR="00F94C39">
        <w:t xml:space="preserve">: </w:t>
      </w:r>
      <w:hyperlink r:id="rId9" w:history="1">
        <w:r w:rsidR="00F35BA9" w:rsidRPr="00F35BA9">
          <w:rPr>
            <w:rStyle w:val="Hyperlink"/>
            <w:b/>
            <w:color w:val="0000FF"/>
          </w:rPr>
          <w:t xml:space="preserve"> http://www.migmineralnibani.com</w:t>
        </w:r>
      </w:hyperlink>
      <w:r w:rsidR="00F94C39">
        <w:t xml:space="preserve"> </w:t>
      </w:r>
    </w:p>
    <w:p w:rsidR="00E346E7" w:rsidRDefault="00E346E7" w:rsidP="00F94C39">
      <w:pPr>
        <w:pStyle w:val="ListParagraph"/>
        <w:numPr>
          <w:ilvl w:val="0"/>
          <w:numId w:val="27"/>
        </w:numPr>
        <w:jc w:val="both"/>
      </w:pPr>
      <w:r>
        <w:t xml:space="preserve">интернет страницата на ОПИК 2014 – 2020 г.: </w:t>
      </w:r>
      <w:hyperlink r:id="rId10" w:history="1">
        <w:r w:rsidR="00F94C39" w:rsidRPr="00F35BA9">
          <w:rPr>
            <w:rStyle w:val="Hyperlink"/>
            <w:b/>
            <w:color w:val="0000FF"/>
          </w:rPr>
          <w:t>http://opic.bg</w:t>
        </w:r>
      </w:hyperlink>
      <w:r w:rsidR="00F94C39">
        <w:t xml:space="preserve"> </w:t>
      </w:r>
    </w:p>
    <w:p w:rsidR="00050F9D" w:rsidRPr="00E346E7" w:rsidRDefault="00E346E7" w:rsidP="00E346E7">
      <w:pPr>
        <w:pStyle w:val="ListParagraph"/>
        <w:numPr>
          <w:ilvl w:val="0"/>
          <w:numId w:val="27"/>
        </w:numPr>
      </w:pPr>
      <w:r>
        <w:t>интернет страницата на Единния информационен портал за обща информация за</w:t>
      </w:r>
      <w:r w:rsidR="00F94C39">
        <w:t xml:space="preserve"> </w:t>
      </w:r>
      <w:r>
        <w:t xml:space="preserve">изпълнението и управлението </w:t>
      </w:r>
      <w:r w:rsidR="00F94C39">
        <w:t xml:space="preserve">на ЕСИФ: </w:t>
      </w:r>
      <w:hyperlink r:id="rId11" w:history="1">
        <w:r w:rsidR="00F94C39" w:rsidRPr="00F35BA9">
          <w:rPr>
            <w:rStyle w:val="Hyperlink"/>
            <w:b/>
            <w:color w:val="0000FF"/>
          </w:rPr>
          <w:t>https://www.eufunds.bg</w:t>
        </w:r>
      </w:hyperlink>
      <w:r w:rsidR="00F94C39">
        <w:t xml:space="preserve"> </w:t>
      </w:r>
    </w:p>
    <w:sectPr w:rsidR="00050F9D" w:rsidRPr="00E346E7" w:rsidSect="00E346E7">
      <w:headerReference w:type="default" r:id="rId12"/>
      <w:pgSz w:w="11906" w:h="16838" w:code="9"/>
      <w:pgMar w:top="1418" w:right="102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90E" w:rsidRDefault="0015190E" w:rsidP="005E4633">
      <w:r>
        <w:separator/>
      </w:r>
    </w:p>
  </w:endnote>
  <w:endnote w:type="continuationSeparator" w:id="0">
    <w:p w:rsidR="0015190E" w:rsidRDefault="0015190E" w:rsidP="005E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90E" w:rsidRDefault="0015190E" w:rsidP="005E4633">
      <w:r>
        <w:separator/>
      </w:r>
    </w:p>
  </w:footnote>
  <w:footnote w:type="continuationSeparator" w:id="0">
    <w:p w:rsidR="0015190E" w:rsidRDefault="0015190E" w:rsidP="005E4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Y="616"/>
      <w:tblW w:w="9468" w:type="dxa"/>
      <w:tblBorders>
        <w:top w:val="thinThickSmallGap" w:sz="12" w:space="0" w:color="999999"/>
        <w:left w:val="thinThickSmallGap" w:sz="12" w:space="0" w:color="999999"/>
        <w:bottom w:val="thinThickSmallGap" w:sz="12" w:space="0" w:color="999999"/>
        <w:right w:val="thinThickSmallGap" w:sz="12" w:space="0" w:color="999999"/>
        <w:insideH w:val="thinThickSmallGap" w:sz="12" w:space="0" w:color="999999"/>
        <w:insideV w:val="thinThickSmallGap" w:sz="12" w:space="0" w:color="999999"/>
      </w:tblBorders>
      <w:tblLayout w:type="fixed"/>
      <w:tblLook w:val="01E0" w:firstRow="1" w:lastRow="1" w:firstColumn="1" w:lastColumn="1" w:noHBand="0" w:noVBand="0"/>
    </w:tblPr>
    <w:tblGrid>
      <w:gridCol w:w="246"/>
      <w:gridCol w:w="9222"/>
    </w:tblGrid>
    <w:tr w:rsidR="00610E82" w:rsidRPr="00251822" w:rsidTr="00B226A2">
      <w:trPr>
        <w:trHeight w:val="880"/>
      </w:trPr>
      <w:tc>
        <w:tcPr>
          <w:tcW w:w="246" w:type="dxa"/>
          <w:tcBorders>
            <w:top w:val="thinThickSmallGap" w:sz="12" w:space="0" w:color="999999"/>
            <w:left w:val="thinThickSmallGap" w:sz="12" w:space="0" w:color="999999"/>
            <w:bottom w:val="thinThickSmallGap" w:sz="12" w:space="0" w:color="999999"/>
            <w:right w:val="nil"/>
          </w:tcBorders>
          <w:vAlign w:val="center"/>
        </w:tcPr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lang w:val="en-US"/>
            </w:rPr>
          </w:pPr>
        </w:p>
      </w:tc>
      <w:tc>
        <w:tcPr>
          <w:tcW w:w="9222" w:type="dxa"/>
          <w:tcBorders>
            <w:top w:val="thinThickSmallGap" w:sz="12" w:space="0" w:color="999999"/>
            <w:left w:val="nil"/>
            <w:bottom w:val="thinThickSmallGap" w:sz="12" w:space="0" w:color="999999"/>
            <w:right w:val="thinThickSmallGap" w:sz="12" w:space="0" w:color="999999"/>
          </w:tcBorders>
          <w:vAlign w:val="center"/>
          <w:hideMark/>
        </w:tcPr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rPr>
              <w:i/>
              <w:iCs/>
              <w:lang w:val="en-US"/>
            </w:rPr>
          </w:pPr>
          <w:r w:rsidRPr="00251822">
            <w:rPr>
              <w:noProof/>
              <w:lang w:eastAsia="bg-BG"/>
            </w:rPr>
            <w:drawing>
              <wp:inline distT="0" distB="0" distL="0" distR="0" wp14:anchorId="7E84F0E9" wp14:editId="4D1B08DD">
                <wp:extent cx="1600200" cy="6381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3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51822">
            <w:rPr>
              <w:noProof/>
              <w:lang w:val="en-US"/>
            </w:rPr>
            <w:t xml:space="preserve">  </w:t>
          </w:r>
          <w:r w:rsidRPr="00251822">
            <w:rPr>
              <w:i/>
              <w:noProof/>
              <w:lang w:eastAsia="bg-BG"/>
            </w:rPr>
            <w:drawing>
              <wp:inline distT="0" distB="0" distL="0" distR="0" wp14:anchorId="212FE79F" wp14:editId="45D5705D">
                <wp:extent cx="828675" cy="638175"/>
                <wp:effectExtent l="0" t="0" r="9525" b="9525"/>
                <wp:docPr id="2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2"/>
                        <pic:cNvPicPr>
                          <a:picLocks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51822">
            <w:rPr>
              <w:noProof/>
            </w:rPr>
            <w:t xml:space="preserve"> </w:t>
          </w:r>
          <w:r w:rsidRPr="00251822">
            <w:rPr>
              <w:noProof/>
              <w:lang w:val="en-US"/>
            </w:rPr>
            <w:t xml:space="preserve"> </w:t>
          </w:r>
          <w:r w:rsidRPr="00251822">
            <w:rPr>
              <w:noProof/>
              <w:lang w:eastAsia="bg-BG"/>
            </w:rPr>
            <w:drawing>
              <wp:inline distT="0" distB="0" distL="0" distR="0" wp14:anchorId="28448311" wp14:editId="6764F080">
                <wp:extent cx="800100" cy="638175"/>
                <wp:effectExtent l="0" t="0" r="0" b="9525"/>
                <wp:docPr id="3" name="Picture 3" descr="logo_m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m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51822">
            <w:rPr>
              <w:noProof/>
              <w:lang w:val="en-US"/>
            </w:rPr>
            <w:t xml:space="preserve">       </w:t>
          </w:r>
          <w:r>
            <w:rPr>
              <w:noProof/>
              <w:lang w:eastAsia="bg-BG"/>
            </w:rPr>
            <w:drawing>
              <wp:inline distT="0" distB="0" distL="0" distR="0" wp14:anchorId="266B49B9" wp14:editId="7CF81545">
                <wp:extent cx="1714500" cy="6286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35" t="15169" r="15656" b="63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895" cy="62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10E82" w:rsidRPr="00251822" w:rsidTr="00B226A2">
      <w:trPr>
        <w:trHeight w:val="354"/>
      </w:trPr>
      <w:tc>
        <w:tcPr>
          <w:tcW w:w="9468" w:type="dxa"/>
          <w:gridSpan w:val="2"/>
          <w:tcBorders>
            <w:top w:val="thinThickSmallGap" w:sz="12" w:space="0" w:color="999999"/>
            <w:left w:val="thinThickSmallGap" w:sz="12" w:space="0" w:color="999999"/>
            <w:bottom w:val="thinThickSmallGap" w:sz="12" w:space="0" w:color="999999"/>
            <w:right w:val="thinThickSmallGap" w:sz="12" w:space="0" w:color="999999"/>
          </w:tcBorders>
          <w:vAlign w:val="center"/>
          <w:hideMark/>
        </w:tcPr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b/>
            </w:rPr>
          </w:pPr>
          <w:r w:rsidRPr="00251822">
            <w:rPr>
              <w:b/>
            </w:rPr>
            <w:t>Програма за развитие на селските райони 2014-2020 г.</w:t>
          </w:r>
        </w:p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b/>
              <w:iCs/>
              <w:lang w:val="en-US"/>
            </w:rPr>
          </w:pPr>
          <w:r w:rsidRPr="00251822">
            <w:rPr>
              <w:b/>
            </w:rPr>
            <w:t>Европейски земеделски фонд за развитие на селските райони</w:t>
          </w:r>
        </w:p>
      </w:tc>
    </w:tr>
    <w:tr w:rsidR="00610E82" w:rsidRPr="00251822" w:rsidTr="00B226A2">
      <w:trPr>
        <w:trHeight w:val="664"/>
      </w:trPr>
      <w:tc>
        <w:tcPr>
          <w:tcW w:w="9468" w:type="dxa"/>
          <w:gridSpan w:val="2"/>
          <w:tcBorders>
            <w:top w:val="thinThickSmallGap" w:sz="12" w:space="0" w:color="999999"/>
            <w:left w:val="thinThickSmallGap" w:sz="12" w:space="0" w:color="999999"/>
            <w:bottom w:val="thinThickSmallGap" w:sz="12" w:space="0" w:color="999999"/>
            <w:right w:val="thinThickSmallGap" w:sz="12" w:space="0" w:color="999999"/>
          </w:tcBorders>
          <w:vAlign w:val="center"/>
          <w:hideMark/>
        </w:tcPr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b/>
              <w:sz w:val="18"/>
            </w:rPr>
          </w:pPr>
          <w:r w:rsidRPr="00251822">
            <w:rPr>
              <w:b/>
              <w:sz w:val="18"/>
            </w:rPr>
            <w:t>Споразумение №РД 50-1</w:t>
          </w:r>
          <w:r w:rsidRPr="00251822">
            <w:rPr>
              <w:b/>
              <w:sz w:val="18"/>
              <w:lang w:val="en-US"/>
            </w:rPr>
            <w:t>88</w:t>
          </w:r>
          <w:r w:rsidRPr="00251822">
            <w:rPr>
              <w:b/>
              <w:sz w:val="18"/>
            </w:rPr>
            <w:t>/29.11.2016г. за изпълнение на Стратегия за Водено от</w:t>
          </w:r>
        </w:p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b/>
              <w:sz w:val="18"/>
            </w:rPr>
          </w:pPr>
          <w:r w:rsidRPr="00251822">
            <w:rPr>
              <w:b/>
              <w:sz w:val="18"/>
            </w:rPr>
            <w:t>общностите местно развитие на МИГ „Минерални бани – Черноочене“</w:t>
          </w:r>
        </w:p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b/>
              <w:sz w:val="18"/>
            </w:rPr>
          </w:pPr>
          <w:r w:rsidRPr="00251822">
            <w:rPr>
              <w:b/>
              <w:sz w:val="18"/>
            </w:rPr>
            <w:t>Подмярка 19.4 „Текущи разходи и популяризиране на стратегия за Водено от общностите местно развитие"</w:t>
          </w:r>
        </w:p>
        <w:p w:rsidR="00610E82" w:rsidRPr="00251822" w:rsidRDefault="00610E82" w:rsidP="00610E82">
          <w:pPr>
            <w:tabs>
              <w:tab w:val="center" w:pos="4536"/>
              <w:tab w:val="right" w:pos="9072"/>
            </w:tabs>
            <w:spacing w:line="23" w:lineRule="atLeast"/>
            <w:jc w:val="center"/>
            <w:rPr>
              <w:b/>
              <w:iCs/>
            </w:rPr>
          </w:pPr>
          <w:r w:rsidRPr="00251822">
            <w:rPr>
              <w:b/>
              <w:sz w:val="18"/>
            </w:rPr>
            <w:t>Мярка 19 „Водено от общностите местно развитие"</w:t>
          </w:r>
        </w:p>
      </w:tc>
    </w:tr>
  </w:tbl>
  <w:p w:rsidR="00050F9D" w:rsidRDefault="00050F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413"/>
    <w:multiLevelType w:val="hybridMultilevel"/>
    <w:tmpl w:val="897AB88A"/>
    <w:lvl w:ilvl="0" w:tplc="339C3C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2"/>
        <w:szCs w:val="22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D03CB"/>
    <w:multiLevelType w:val="hybridMultilevel"/>
    <w:tmpl w:val="910A9CC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D2039"/>
    <w:multiLevelType w:val="multilevel"/>
    <w:tmpl w:val="54465F5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>
    <w:nsid w:val="29E03C96"/>
    <w:multiLevelType w:val="hybridMultilevel"/>
    <w:tmpl w:val="1AD025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53A27"/>
    <w:multiLevelType w:val="hybridMultilevel"/>
    <w:tmpl w:val="AC28028E"/>
    <w:lvl w:ilvl="0" w:tplc="42CAD49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071A1"/>
    <w:multiLevelType w:val="hybridMultilevel"/>
    <w:tmpl w:val="0A38455E"/>
    <w:lvl w:ilvl="0" w:tplc="792E3A20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C6DA8"/>
    <w:multiLevelType w:val="hybridMultilevel"/>
    <w:tmpl w:val="120CAD38"/>
    <w:lvl w:ilvl="0" w:tplc="040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98" w:hanging="360"/>
      </w:pPr>
    </w:lvl>
    <w:lvl w:ilvl="2" w:tplc="0402001B" w:tentative="1">
      <w:start w:val="1"/>
      <w:numFmt w:val="lowerRoman"/>
      <w:lvlText w:val="%3."/>
      <w:lvlJc w:val="right"/>
      <w:pPr>
        <w:ind w:left="2018" w:hanging="180"/>
      </w:pPr>
    </w:lvl>
    <w:lvl w:ilvl="3" w:tplc="0402000F" w:tentative="1">
      <w:start w:val="1"/>
      <w:numFmt w:val="decimal"/>
      <w:lvlText w:val="%4."/>
      <w:lvlJc w:val="left"/>
      <w:pPr>
        <w:ind w:left="2738" w:hanging="360"/>
      </w:pPr>
    </w:lvl>
    <w:lvl w:ilvl="4" w:tplc="04020019" w:tentative="1">
      <w:start w:val="1"/>
      <w:numFmt w:val="lowerLetter"/>
      <w:lvlText w:val="%5."/>
      <w:lvlJc w:val="left"/>
      <w:pPr>
        <w:ind w:left="3458" w:hanging="360"/>
      </w:pPr>
    </w:lvl>
    <w:lvl w:ilvl="5" w:tplc="0402001B" w:tentative="1">
      <w:start w:val="1"/>
      <w:numFmt w:val="lowerRoman"/>
      <w:lvlText w:val="%6."/>
      <w:lvlJc w:val="right"/>
      <w:pPr>
        <w:ind w:left="4178" w:hanging="180"/>
      </w:pPr>
    </w:lvl>
    <w:lvl w:ilvl="6" w:tplc="0402000F" w:tentative="1">
      <w:start w:val="1"/>
      <w:numFmt w:val="decimal"/>
      <w:lvlText w:val="%7."/>
      <w:lvlJc w:val="left"/>
      <w:pPr>
        <w:ind w:left="4898" w:hanging="360"/>
      </w:pPr>
    </w:lvl>
    <w:lvl w:ilvl="7" w:tplc="04020019" w:tentative="1">
      <w:start w:val="1"/>
      <w:numFmt w:val="lowerLetter"/>
      <w:lvlText w:val="%8."/>
      <w:lvlJc w:val="left"/>
      <w:pPr>
        <w:ind w:left="5618" w:hanging="360"/>
      </w:pPr>
    </w:lvl>
    <w:lvl w:ilvl="8" w:tplc="040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318C17C2"/>
    <w:multiLevelType w:val="hybridMultilevel"/>
    <w:tmpl w:val="284AF202"/>
    <w:lvl w:ilvl="0" w:tplc="82F6AF0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F3F3F"/>
    <w:multiLevelType w:val="hybridMultilevel"/>
    <w:tmpl w:val="BB4CCA7A"/>
    <w:lvl w:ilvl="0" w:tplc="8DD81316">
      <w:start w:val="3"/>
      <w:numFmt w:val="bullet"/>
      <w:lvlText w:val="-"/>
      <w:lvlJc w:val="left"/>
      <w:pPr>
        <w:ind w:left="862" w:hanging="360"/>
      </w:pPr>
      <w:rPr>
        <w:rFonts w:ascii="Times New Roman" w:eastAsia="Calibri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7D23673"/>
    <w:multiLevelType w:val="hybridMultilevel"/>
    <w:tmpl w:val="302A0F4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B2195"/>
    <w:multiLevelType w:val="hybridMultilevel"/>
    <w:tmpl w:val="CC601848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DB46A29"/>
    <w:multiLevelType w:val="hybridMultilevel"/>
    <w:tmpl w:val="F4A61190"/>
    <w:lvl w:ilvl="0" w:tplc="0402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F957F2F"/>
    <w:multiLevelType w:val="hybridMultilevel"/>
    <w:tmpl w:val="FE56BE30"/>
    <w:lvl w:ilvl="0" w:tplc="E09099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A96ABAC">
      <w:numFmt w:val="none"/>
      <w:lvlText w:val=""/>
      <w:lvlJc w:val="left"/>
      <w:pPr>
        <w:tabs>
          <w:tab w:val="num" w:pos="360"/>
        </w:tabs>
      </w:pPr>
    </w:lvl>
    <w:lvl w:ilvl="2" w:tplc="55DA2544">
      <w:numFmt w:val="none"/>
      <w:lvlText w:val=""/>
      <w:lvlJc w:val="left"/>
      <w:pPr>
        <w:tabs>
          <w:tab w:val="num" w:pos="360"/>
        </w:tabs>
      </w:pPr>
    </w:lvl>
    <w:lvl w:ilvl="3" w:tplc="0AB2CC70">
      <w:numFmt w:val="none"/>
      <w:lvlText w:val=""/>
      <w:lvlJc w:val="left"/>
      <w:pPr>
        <w:tabs>
          <w:tab w:val="num" w:pos="360"/>
        </w:tabs>
      </w:pPr>
    </w:lvl>
    <w:lvl w:ilvl="4" w:tplc="83A84E58">
      <w:numFmt w:val="none"/>
      <w:lvlText w:val=""/>
      <w:lvlJc w:val="left"/>
      <w:pPr>
        <w:tabs>
          <w:tab w:val="num" w:pos="360"/>
        </w:tabs>
      </w:pPr>
    </w:lvl>
    <w:lvl w:ilvl="5" w:tplc="03AC3040">
      <w:numFmt w:val="none"/>
      <w:lvlText w:val=""/>
      <w:lvlJc w:val="left"/>
      <w:pPr>
        <w:tabs>
          <w:tab w:val="num" w:pos="360"/>
        </w:tabs>
      </w:pPr>
    </w:lvl>
    <w:lvl w:ilvl="6" w:tplc="4E4C4A38">
      <w:numFmt w:val="none"/>
      <w:lvlText w:val=""/>
      <w:lvlJc w:val="left"/>
      <w:pPr>
        <w:tabs>
          <w:tab w:val="num" w:pos="360"/>
        </w:tabs>
      </w:pPr>
    </w:lvl>
    <w:lvl w:ilvl="7" w:tplc="B4A848FA">
      <w:numFmt w:val="none"/>
      <w:lvlText w:val=""/>
      <w:lvlJc w:val="left"/>
      <w:pPr>
        <w:tabs>
          <w:tab w:val="num" w:pos="360"/>
        </w:tabs>
      </w:pPr>
    </w:lvl>
    <w:lvl w:ilvl="8" w:tplc="10CE2FA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48EB2D9C"/>
    <w:multiLevelType w:val="hybridMultilevel"/>
    <w:tmpl w:val="CAD8636A"/>
    <w:lvl w:ilvl="0" w:tplc="B2C026A6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7A44A7"/>
    <w:multiLevelType w:val="hybridMultilevel"/>
    <w:tmpl w:val="4F667F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1FFF"/>
    <w:multiLevelType w:val="hybridMultilevel"/>
    <w:tmpl w:val="EC5E6636"/>
    <w:lvl w:ilvl="0" w:tplc="77A45C0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4812EB4"/>
    <w:multiLevelType w:val="hybridMultilevel"/>
    <w:tmpl w:val="BE068886"/>
    <w:lvl w:ilvl="0" w:tplc="ADCACD3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FD7527"/>
    <w:multiLevelType w:val="hybridMultilevel"/>
    <w:tmpl w:val="647C4A1C"/>
    <w:lvl w:ilvl="0" w:tplc="BC46659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6FE4EEDE">
      <w:start w:val="1"/>
      <w:numFmt w:val="decimal"/>
      <w:lvlText w:val="%2."/>
      <w:lvlJc w:val="left"/>
      <w:pPr>
        <w:ind w:left="2205" w:hanging="1125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77E51"/>
    <w:multiLevelType w:val="hybridMultilevel"/>
    <w:tmpl w:val="98765032"/>
    <w:lvl w:ilvl="0" w:tplc="0402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242FE8"/>
    <w:multiLevelType w:val="hybridMultilevel"/>
    <w:tmpl w:val="9F0ADCA6"/>
    <w:lvl w:ilvl="0" w:tplc="49E09944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sz w:val="28"/>
        <w:szCs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35D1F"/>
    <w:multiLevelType w:val="hybridMultilevel"/>
    <w:tmpl w:val="5F4A1F3A"/>
    <w:lvl w:ilvl="0" w:tplc="C85C0E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D1045D4"/>
    <w:multiLevelType w:val="hybridMultilevel"/>
    <w:tmpl w:val="1302BB38"/>
    <w:lvl w:ilvl="0" w:tplc="ADCACD3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0550D"/>
    <w:multiLevelType w:val="hybridMultilevel"/>
    <w:tmpl w:val="86B204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E03EF2"/>
    <w:multiLevelType w:val="hybridMultilevel"/>
    <w:tmpl w:val="9DB0E3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C55DB3"/>
    <w:multiLevelType w:val="hybridMultilevel"/>
    <w:tmpl w:val="1B585E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633A04"/>
    <w:multiLevelType w:val="hybridMultilevel"/>
    <w:tmpl w:val="C6C89F4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4302B"/>
    <w:multiLevelType w:val="multilevel"/>
    <w:tmpl w:val="EA72B7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1800"/>
      </w:pPr>
      <w:rPr>
        <w:rFonts w:hint="default"/>
      </w:rPr>
    </w:lvl>
  </w:abstractNum>
  <w:num w:numId="1">
    <w:abstractNumId w:val="7"/>
  </w:num>
  <w:num w:numId="2">
    <w:abstractNumId w:val="19"/>
  </w:num>
  <w:num w:numId="3">
    <w:abstractNumId w:val="4"/>
  </w:num>
  <w:num w:numId="4">
    <w:abstractNumId w:val="1"/>
  </w:num>
  <w:num w:numId="5">
    <w:abstractNumId w:val="24"/>
  </w:num>
  <w:num w:numId="6">
    <w:abstractNumId w:val="14"/>
  </w:num>
  <w:num w:numId="7">
    <w:abstractNumId w:val="3"/>
  </w:num>
  <w:num w:numId="8">
    <w:abstractNumId w:val="15"/>
  </w:num>
  <w:num w:numId="9">
    <w:abstractNumId w:val="20"/>
  </w:num>
  <w:num w:numId="10">
    <w:abstractNumId w:val="12"/>
  </w:num>
  <w:num w:numId="11">
    <w:abstractNumId w:val="22"/>
  </w:num>
  <w:num w:numId="12">
    <w:abstractNumId w:val="18"/>
  </w:num>
  <w:num w:numId="13">
    <w:abstractNumId w:val="5"/>
  </w:num>
  <w:num w:numId="14">
    <w:abstractNumId w:val="13"/>
  </w:num>
  <w:num w:numId="15">
    <w:abstractNumId w:val="16"/>
  </w:num>
  <w:num w:numId="16">
    <w:abstractNumId w:val="21"/>
  </w:num>
  <w:num w:numId="17">
    <w:abstractNumId w:val="17"/>
  </w:num>
  <w:num w:numId="18">
    <w:abstractNumId w:val="23"/>
  </w:num>
  <w:num w:numId="19">
    <w:abstractNumId w:val="9"/>
  </w:num>
  <w:num w:numId="20">
    <w:abstractNumId w:val="0"/>
  </w:num>
  <w:num w:numId="21">
    <w:abstractNumId w:val="26"/>
  </w:num>
  <w:num w:numId="22">
    <w:abstractNumId w:val="2"/>
  </w:num>
  <w:num w:numId="23">
    <w:abstractNumId w:val="11"/>
  </w:num>
  <w:num w:numId="24">
    <w:abstractNumId w:val="8"/>
  </w:num>
  <w:num w:numId="25">
    <w:abstractNumId w:val="6"/>
  </w:num>
  <w:num w:numId="26">
    <w:abstractNumId w:val="1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E55"/>
    <w:rsid w:val="00050F9D"/>
    <w:rsid w:val="000A16DE"/>
    <w:rsid w:val="00110866"/>
    <w:rsid w:val="0015190E"/>
    <w:rsid w:val="00193B2D"/>
    <w:rsid w:val="001C27E6"/>
    <w:rsid w:val="001E4E0C"/>
    <w:rsid w:val="001F6A3E"/>
    <w:rsid w:val="00207744"/>
    <w:rsid w:val="002378F1"/>
    <w:rsid w:val="00240116"/>
    <w:rsid w:val="002624AC"/>
    <w:rsid w:val="002679CA"/>
    <w:rsid w:val="00284129"/>
    <w:rsid w:val="0031254F"/>
    <w:rsid w:val="00320761"/>
    <w:rsid w:val="00375973"/>
    <w:rsid w:val="003F329E"/>
    <w:rsid w:val="00407FD5"/>
    <w:rsid w:val="00411C5B"/>
    <w:rsid w:val="00425F4F"/>
    <w:rsid w:val="00461F59"/>
    <w:rsid w:val="0047620D"/>
    <w:rsid w:val="004A2E1B"/>
    <w:rsid w:val="004E28ED"/>
    <w:rsid w:val="00503FD5"/>
    <w:rsid w:val="00534352"/>
    <w:rsid w:val="00535C79"/>
    <w:rsid w:val="0055622E"/>
    <w:rsid w:val="005938A5"/>
    <w:rsid w:val="00594A3E"/>
    <w:rsid w:val="005B0D69"/>
    <w:rsid w:val="005B398F"/>
    <w:rsid w:val="005B73AA"/>
    <w:rsid w:val="005E4633"/>
    <w:rsid w:val="00610E82"/>
    <w:rsid w:val="00686D41"/>
    <w:rsid w:val="00702D7C"/>
    <w:rsid w:val="00715707"/>
    <w:rsid w:val="00716800"/>
    <w:rsid w:val="00772374"/>
    <w:rsid w:val="007D3728"/>
    <w:rsid w:val="00870F79"/>
    <w:rsid w:val="00882ED7"/>
    <w:rsid w:val="008849E0"/>
    <w:rsid w:val="008E714C"/>
    <w:rsid w:val="00937019"/>
    <w:rsid w:val="00A6219A"/>
    <w:rsid w:val="00A86705"/>
    <w:rsid w:val="00AD2546"/>
    <w:rsid w:val="00AD3A91"/>
    <w:rsid w:val="00AE1913"/>
    <w:rsid w:val="00B2207F"/>
    <w:rsid w:val="00B568FC"/>
    <w:rsid w:val="00B7238B"/>
    <w:rsid w:val="00C93BFF"/>
    <w:rsid w:val="00CB1F83"/>
    <w:rsid w:val="00D22A2E"/>
    <w:rsid w:val="00D22DB3"/>
    <w:rsid w:val="00D6749C"/>
    <w:rsid w:val="00D70E7D"/>
    <w:rsid w:val="00D85FB5"/>
    <w:rsid w:val="00DA00CF"/>
    <w:rsid w:val="00DA4AB7"/>
    <w:rsid w:val="00DC2F88"/>
    <w:rsid w:val="00E20CDF"/>
    <w:rsid w:val="00E30D4D"/>
    <w:rsid w:val="00E346E7"/>
    <w:rsid w:val="00E573A6"/>
    <w:rsid w:val="00E72AA3"/>
    <w:rsid w:val="00E96ABD"/>
    <w:rsid w:val="00EB3787"/>
    <w:rsid w:val="00ED46C7"/>
    <w:rsid w:val="00F35BA9"/>
    <w:rsid w:val="00F60E6E"/>
    <w:rsid w:val="00F67E55"/>
    <w:rsid w:val="00F9368A"/>
    <w:rsid w:val="00F94C39"/>
    <w:rsid w:val="00FA7644"/>
    <w:rsid w:val="00FD79CD"/>
    <w:rsid w:val="00FE0E7C"/>
    <w:rsid w:val="00FF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5C3B210-C9E5-4E8A-A1AC-E6349ECD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D6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5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A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463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633"/>
  </w:style>
  <w:style w:type="paragraph" w:styleId="Footer">
    <w:name w:val="footer"/>
    <w:basedOn w:val="Normal"/>
    <w:link w:val="FooterChar"/>
    <w:uiPriority w:val="99"/>
    <w:unhideWhenUsed/>
    <w:rsid w:val="005E463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633"/>
  </w:style>
  <w:style w:type="character" w:styleId="Hyperlink">
    <w:name w:val="Hyperlink"/>
    <w:basedOn w:val="DefaultParagraphFont"/>
    <w:uiPriority w:val="99"/>
    <w:unhideWhenUsed/>
    <w:rsid w:val="000A16DE"/>
    <w:rPr>
      <w:color w:val="0563C1" w:themeColor="hyperlink"/>
      <w:u w:val="single"/>
    </w:rPr>
  </w:style>
  <w:style w:type="paragraph" w:customStyle="1" w:styleId="a">
    <w:name w:val="Списък на абзаци"/>
    <w:basedOn w:val="Normal"/>
    <w:uiPriority w:val="34"/>
    <w:qFormat/>
    <w:rsid w:val="005B0D69"/>
    <w:pPr>
      <w:suppressAutoHyphens w:val="0"/>
      <w:ind w:left="720"/>
      <w:contextualSpacing/>
    </w:pPr>
    <w:rPr>
      <w:rFonts w:eastAsia="Calibri" w:cs="Times New Roman"/>
      <w:lang w:eastAsia="bg-BG"/>
    </w:rPr>
  </w:style>
  <w:style w:type="paragraph" w:customStyle="1" w:styleId="Char1">
    <w:name w:val="Char1 Знак Знак"/>
    <w:basedOn w:val="Normal"/>
    <w:rsid w:val="005B0D69"/>
    <w:pPr>
      <w:tabs>
        <w:tab w:val="left" w:pos="709"/>
      </w:tabs>
      <w:suppressAutoHyphens w:val="0"/>
    </w:pPr>
    <w:rPr>
      <w:rFonts w:ascii="Tahoma" w:eastAsia="MS Mincho" w:hAnsi="Tahoma" w:cs="Times New Roman"/>
      <w:lang w:val="pl-PL" w:eastAsia="pl-PL"/>
    </w:rPr>
  </w:style>
  <w:style w:type="paragraph" w:customStyle="1" w:styleId="Char10">
    <w:name w:val="Char1 Знак Знак"/>
    <w:basedOn w:val="Normal"/>
    <w:rsid w:val="00772374"/>
    <w:pPr>
      <w:tabs>
        <w:tab w:val="left" w:pos="709"/>
      </w:tabs>
      <w:suppressAutoHyphens w:val="0"/>
    </w:pPr>
    <w:rPr>
      <w:rFonts w:ascii="Tahoma" w:eastAsia="MS Mincho" w:hAnsi="Tahoma" w:cs="Times New Roman"/>
      <w:lang w:val="pl-PL" w:eastAsia="pl-PL"/>
    </w:rPr>
  </w:style>
  <w:style w:type="paragraph" w:styleId="Title">
    <w:name w:val="Title"/>
    <w:basedOn w:val="Normal"/>
    <w:link w:val="TitleChar"/>
    <w:qFormat/>
    <w:rsid w:val="00050F9D"/>
    <w:pPr>
      <w:suppressAutoHyphens w:val="0"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pl-PL" w:eastAsia="pl-PL"/>
    </w:rPr>
  </w:style>
  <w:style w:type="character" w:customStyle="1" w:styleId="TitleChar">
    <w:name w:val="Title Char"/>
    <w:basedOn w:val="DefaultParagraphFont"/>
    <w:link w:val="Title"/>
    <w:rsid w:val="00050F9D"/>
    <w:rPr>
      <w:rFonts w:ascii="Arial" w:eastAsia="Times New Roman" w:hAnsi="Arial" w:cs="Arial"/>
      <w:b/>
      <w:bCs/>
      <w:kern w:val="28"/>
      <w:sz w:val="32"/>
      <w:szCs w:val="32"/>
      <w:lang w:val="pl-PL" w:eastAsia="pl-PL"/>
    </w:rPr>
  </w:style>
  <w:style w:type="character" w:styleId="FootnoteReference">
    <w:name w:val="footnote reference"/>
    <w:aliases w:val="Footnote symbol,Char1 Char Char Char Char, Char1 Char Char Char Char,SUPERS,BVI fnr,Appel note de bas de p,Nota,(NECG) Footnote Reference,Voetnootverwijzing,ftref,Footnotes refss,Fussnota,Footnote reference numbe,Fussnot"/>
    <w:uiPriority w:val="99"/>
    <w:rsid w:val="00050F9D"/>
    <w:rPr>
      <w:vertAlign w:val="superscript"/>
    </w:rPr>
  </w:style>
  <w:style w:type="paragraph" w:styleId="FootnoteText">
    <w:name w:val="footnote text"/>
    <w:aliases w:val="Podrozdział,stile 1,Footnote1,Footnote2,Footnote3,Footnote4,Footnote5,Footnote6,Footnote7,Footnote8,Footnote9,Footnote10,Footnote11,Footnote21,Footnote31,Footnote41,Footnote51,Footnote61,Footnote71,Footnote81,Footnote91,single spa"/>
    <w:basedOn w:val="Normal"/>
    <w:link w:val="FootnoteTextChar"/>
    <w:uiPriority w:val="99"/>
    <w:rsid w:val="00050F9D"/>
    <w:pPr>
      <w:suppressAutoHyphens w:val="0"/>
    </w:pPr>
    <w:rPr>
      <w:rFonts w:cs="Times New Roman"/>
      <w:sz w:val="20"/>
      <w:szCs w:val="20"/>
      <w:lang w:val="pl-PL" w:eastAsia="pl-PL"/>
    </w:rPr>
  </w:style>
  <w:style w:type="character" w:customStyle="1" w:styleId="FootnoteTextChar">
    <w:name w:val="Footnote Text Char"/>
    <w:aliases w:val="Podrozdział Char,stile 1 Char,Footnote1 Char,Footnote2 Char,Footnote3 Char,Footnote4 Char,Footnote5 Char,Footnote6 Char,Footnote7 Char,Footnote8 Char,Footnote9 Char,Footnote10 Char,Footnote11 Char,Footnote21 Char,Footnote31 Char"/>
    <w:basedOn w:val="DefaultParagraphFont"/>
    <w:link w:val="FootnoteText"/>
    <w:uiPriority w:val="99"/>
    <w:rsid w:val="00050F9D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bullets">
    <w:name w:val="bullets"/>
    <w:basedOn w:val="Normal"/>
    <w:link w:val="bulletsChar"/>
    <w:qFormat/>
    <w:rsid w:val="00050F9D"/>
    <w:pPr>
      <w:numPr>
        <w:numId w:val="13"/>
      </w:numPr>
      <w:suppressAutoHyphens w:val="0"/>
      <w:spacing w:after="80"/>
      <w:jc w:val="both"/>
    </w:pPr>
    <w:rPr>
      <w:rFonts w:eastAsiaTheme="minorHAnsi" w:cstheme="minorBidi"/>
      <w:szCs w:val="22"/>
      <w:lang w:eastAsia="en-US"/>
    </w:rPr>
  </w:style>
  <w:style w:type="character" w:customStyle="1" w:styleId="bulletsChar">
    <w:name w:val="bullets Char"/>
    <w:basedOn w:val="DefaultParagraphFont"/>
    <w:link w:val="bullets"/>
    <w:rsid w:val="00050F9D"/>
    <w:rPr>
      <w:rFonts w:ascii="Times New Roman" w:hAnsi="Times New Roman"/>
      <w:sz w:val="24"/>
    </w:rPr>
  </w:style>
  <w:style w:type="paragraph" w:customStyle="1" w:styleId="Text1">
    <w:name w:val="Text 1"/>
    <w:rsid w:val="00050F9D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napToGrid w:val="0"/>
      <w:spacing w:val="-3"/>
      <w:sz w:val="24"/>
      <w:szCs w:val="20"/>
      <w:lang w:val="en-GB"/>
    </w:rPr>
  </w:style>
  <w:style w:type="paragraph" w:customStyle="1" w:styleId="firstlinepp">
    <w:name w:val="firstline_pp"/>
    <w:basedOn w:val="Normal"/>
    <w:rsid w:val="00050F9D"/>
    <w:pPr>
      <w:suppressAutoHyphens w:val="0"/>
      <w:spacing w:before="100" w:beforeAutospacing="1" w:after="100" w:afterAutospacing="1"/>
    </w:pPr>
    <w:rPr>
      <w:rFonts w:cs="Times New Roman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gmineralnibani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umis2020.government.b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funds.bg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opic.b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%20http://www.migmineralnibani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824</Words>
  <Characters>4702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cp:lastPrinted>2016-12-07T09:37:00Z</cp:lastPrinted>
  <dcterms:created xsi:type="dcterms:W3CDTF">2018-09-28T06:43:00Z</dcterms:created>
  <dcterms:modified xsi:type="dcterms:W3CDTF">2018-09-28T06:50:00Z</dcterms:modified>
</cp:coreProperties>
</file>