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5E" w:rsidRDefault="004E655E" w:rsidP="004E655E">
      <w:pPr>
        <w:spacing w:line="360" w:lineRule="auto"/>
        <w:jc w:val="center"/>
        <w:rPr>
          <w:rFonts w:ascii="Times New Roman" w:eastAsiaTheme="majorEastAsia" w:hAnsi="Times New Roman" w:cstheme="majorBidi"/>
          <w:b/>
          <w:bCs/>
          <w:sz w:val="24"/>
          <w:szCs w:val="28"/>
        </w:rPr>
      </w:pPr>
      <w:r w:rsidRPr="00E2432A">
        <w:rPr>
          <w:rFonts w:ascii="Times New Roman" w:eastAsiaTheme="majorEastAsia" w:hAnsi="Times New Roman" w:cstheme="majorBidi"/>
          <w:b/>
          <w:bCs/>
          <w:sz w:val="24"/>
          <w:szCs w:val="28"/>
        </w:rPr>
        <w:t xml:space="preserve">УСЛОВИЯ ЗА КАНДИДАТСТВАНЕ </w:t>
      </w:r>
    </w:p>
    <w:p w:rsidR="004E655E" w:rsidRDefault="004E655E" w:rsidP="004E655E">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с проектни предложения за предоставяне на безвъзмездна финансова помощ от Стратегия за Водено от общностите местно развитие</w:t>
      </w:r>
    </w:p>
    <w:p w:rsidR="004E655E" w:rsidRDefault="004E655E" w:rsidP="004E655E">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по Програма за развитие на селските райони за периода 2014 – 2020 г. </w:t>
      </w:r>
    </w:p>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tbl>
      <w:tblPr>
        <w:tblStyle w:val="a9"/>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EEAF6" w:themeFill="accent1" w:themeFillTint="33"/>
        <w:tblLook w:val="04A0" w:firstRow="1" w:lastRow="0" w:firstColumn="1" w:lastColumn="0" w:noHBand="0" w:noVBand="1"/>
      </w:tblPr>
      <w:tblGrid>
        <w:gridCol w:w="9212"/>
      </w:tblGrid>
      <w:tr w:rsidR="004E655E" w:rsidTr="001163C1">
        <w:tc>
          <w:tcPr>
            <w:tcW w:w="9212" w:type="dxa"/>
            <w:shd w:val="clear" w:color="auto" w:fill="DEEAF6" w:themeFill="accent1" w:themeFillTint="33"/>
          </w:tcPr>
          <w:p w:rsidR="004E655E" w:rsidRPr="00623FED" w:rsidRDefault="004E655E" w:rsidP="001163C1">
            <w:pPr>
              <w:spacing w:line="360" w:lineRule="auto"/>
              <w:jc w:val="both"/>
              <w:rPr>
                <w:rFonts w:ascii="Times New Roman" w:eastAsiaTheme="majorEastAsia" w:hAnsi="Times New Roman" w:cstheme="majorBidi"/>
                <w:b/>
                <w:bCs/>
                <w:sz w:val="24"/>
                <w:szCs w:val="28"/>
                <w:lang w:val="ru-RU"/>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 с няколко срока за кандидатстване</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imes New Roman"/>
                <w:b/>
                <w:bCs/>
                <w:sz w:val="24"/>
                <w:szCs w:val="28"/>
              </w:rPr>
              <w:t>№</w:t>
            </w:r>
            <w:r w:rsidRPr="007D3A6F">
              <w:rPr>
                <w:rFonts w:ascii="Times New Roman" w:eastAsiaTheme="majorEastAsia" w:hAnsi="Times New Roman" w:cstheme="majorBidi"/>
                <w:b/>
                <w:bCs/>
                <w:sz w:val="24"/>
                <w:szCs w:val="28"/>
                <w:lang w:val="ru-RU"/>
              </w:rPr>
              <w:t xml:space="preserve"> </w:t>
            </w:r>
            <w:r w:rsidRPr="0066610D">
              <w:rPr>
                <w:rFonts w:ascii="Times New Roman" w:eastAsiaTheme="majorEastAsia" w:hAnsi="Times New Roman" w:cstheme="majorBidi"/>
                <w:b/>
                <w:bCs/>
                <w:sz w:val="24"/>
                <w:szCs w:val="28"/>
                <w:lang w:val="ru-RU"/>
              </w:rPr>
              <w:t>BG06RDNP001-19.12</w:t>
            </w:r>
            <w:r>
              <w:rPr>
                <w:rFonts w:ascii="Times New Roman" w:eastAsiaTheme="majorEastAsia" w:hAnsi="Times New Roman" w:cstheme="majorBidi"/>
                <w:b/>
                <w:bCs/>
                <w:sz w:val="24"/>
                <w:szCs w:val="28"/>
                <w:lang w:val="ru-RU"/>
              </w:rPr>
              <w:t xml:space="preserve">1 </w:t>
            </w:r>
            <w:r>
              <w:rPr>
                <w:rFonts w:ascii="Times New Roman" w:eastAsiaTheme="majorEastAsia" w:hAnsi="Times New Roman" w:cstheme="majorBidi"/>
                <w:b/>
                <w:bCs/>
                <w:sz w:val="24"/>
                <w:szCs w:val="28"/>
              </w:rPr>
              <w:t xml:space="preserve">по </w:t>
            </w:r>
            <w:r w:rsidRPr="00BB1E2D">
              <w:rPr>
                <w:rFonts w:ascii="Times New Roman" w:eastAsiaTheme="majorEastAsia" w:hAnsi="Times New Roman" w:cstheme="majorBidi"/>
                <w:b/>
                <w:bCs/>
                <w:sz w:val="24"/>
                <w:szCs w:val="28"/>
              </w:rPr>
              <w:t>под</w:t>
            </w:r>
            <w:r>
              <w:rPr>
                <w:rFonts w:ascii="Times New Roman" w:eastAsiaTheme="majorEastAsia" w:hAnsi="Times New Roman" w:cstheme="majorBidi"/>
                <w:b/>
                <w:bCs/>
                <w:sz w:val="24"/>
                <w:szCs w:val="28"/>
              </w:rPr>
              <w:t xml:space="preserve"> </w:t>
            </w:r>
            <w:r w:rsidRPr="00BB1E2D">
              <w:rPr>
                <w:rFonts w:ascii="Times New Roman" w:eastAsiaTheme="majorEastAsia" w:hAnsi="Times New Roman" w:cstheme="majorBidi"/>
                <w:b/>
                <w:bCs/>
                <w:sz w:val="24"/>
                <w:szCs w:val="28"/>
              </w:rPr>
              <w:t xml:space="preserve">мярка </w:t>
            </w:r>
            <w:r>
              <w:rPr>
                <w:rFonts w:ascii="Times New Roman" w:eastAsiaTheme="majorEastAsia" w:hAnsi="Times New Roman" w:cstheme="majorBidi"/>
                <w:b/>
                <w:bCs/>
                <w:sz w:val="24"/>
                <w:szCs w:val="28"/>
              </w:rPr>
              <w:t xml:space="preserve">7.2.“Инвестиции в създаването, подобряването или разширяването на всички видове малка по мащаби инфраструктура“ </w:t>
            </w:r>
            <w:r w:rsidRPr="00623FED">
              <w:rPr>
                <w:rFonts w:ascii="Times New Roman" w:eastAsiaTheme="majorEastAsia" w:hAnsi="Times New Roman" w:cstheme="majorBidi"/>
                <w:b/>
                <w:bCs/>
                <w:sz w:val="24"/>
                <w:szCs w:val="28"/>
              </w:rPr>
              <w:t>от Стратегия за Водено от общностите местно развитие</w:t>
            </w:r>
            <w:r w:rsidRPr="00623FED">
              <w:rPr>
                <w:rFonts w:ascii="Times New Roman" w:eastAsiaTheme="majorEastAsia" w:hAnsi="Times New Roman" w:cstheme="majorBidi"/>
                <w:b/>
                <w:bCs/>
                <w:sz w:val="24"/>
                <w:szCs w:val="28"/>
                <w:lang w:val="ru-RU"/>
              </w:rPr>
              <w:t xml:space="preserve"> </w:t>
            </w:r>
            <w:r w:rsidRPr="00623FED">
              <w:rPr>
                <w:rFonts w:ascii="Times New Roman" w:eastAsiaTheme="majorEastAsia" w:hAnsi="Times New Roman" w:cstheme="majorBidi"/>
                <w:b/>
                <w:bCs/>
                <w:sz w:val="24"/>
                <w:szCs w:val="28"/>
              </w:rPr>
              <w:t>Програма за развитие на селските райони 2014-2020</w:t>
            </w:r>
          </w:p>
          <w:p w:rsidR="004E655E" w:rsidRDefault="004E655E" w:rsidP="001163C1">
            <w:pPr>
              <w:spacing w:line="360" w:lineRule="auto"/>
              <w:jc w:val="both"/>
              <w:rPr>
                <w:rFonts w:ascii="Times New Roman" w:eastAsiaTheme="majorEastAsia" w:hAnsi="Times New Roman" w:cstheme="majorBidi"/>
                <w:b/>
                <w:bCs/>
                <w:sz w:val="24"/>
                <w:szCs w:val="28"/>
              </w:rPr>
            </w:pPr>
          </w:p>
        </w:tc>
      </w:tr>
    </w:tbl>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8E6815" w:rsidRDefault="008E6815" w:rsidP="004E655E">
      <w:pPr>
        <w:spacing w:line="360" w:lineRule="auto"/>
        <w:jc w:val="center"/>
        <w:rPr>
          <w:rFonts w:ascii="Times New Roman" w:eastAsiaTheme="majorEastAsia" w:hAnsi="Times New Roman" w:cstheme="majorBidi"/>
          <w:b/>
          <w:bCs/>
          <w:sz w:val="24"/>
          <w:szCs w:val="28"/>
        </w:rPr>
      </w:pPr>
    </w:p>
    <w:p w:rsidR="004E655E" w:rsidRDefault="004E655E" w:rsidP="004E655E">
      <w:pPr>
        <w:spacing w:line="360" w:lineRule="auto"/>
        <w:jc w:val="center"/>
        <w:rPr>
          <w:rFonts w:ascii="Times New Roman" w:eastAsiaTheme="majorEastAsia" w:hAnsi="Times New Roman" w:cstheme="majorBidi"/>
          <w:b/>
          <w:bCs/>
          <w:sz w:val="24"/>
          <w:szCs w:val="28"/>
        </w:rPr>
      </w:pPr>
    </w:p>
    <w:p w:rsidR="004E655E" w:rsidRPr="00623FED" w:rsidRDefault="004E655E" w:rsidP="004E655E">
      <w:pPr>
        <w:tabs>
          <w:tab w:val="right" w:leader="dot" w:pos="9062"/>
        </w:tabs>
        <w:spacing w:after="100"/>
        <w:rPr>
          <w:rFonts w:ascii="Times New Roman" w:hAnsi="Times New Roman" w:cs="Times New Roman"/>
          <w:sz w:val="24"/>
          <w:szCs w:val="24"/>
        </w:rPr>
      </w:pPr>
      <w:r w:rsidRPr="00623FED">
        <w:rPr>
          <w:rFonts w:ascii="Times New Roman" w:hAnsi="Times New Roman" w:cs="Times New Roman"/>
          <w:b/>
          <w:sz w:val="24"/>
          <w:szCs w:val="24"/>
        </w:rPr>
        <w:lastRenderedPageBreak/>
        <w:t>СЪДЪРЖАНИЕ</w:t>
      </w:r>
      <w:r w:rsidRPr="00623FED">
        <w:rPr>
          <w:rFonts w:ascii="Times New Roman" w:hAnsi="Times New Roman" w:cs="Times New Roman"/>
          <w:sz w:val="24"/>
          <w:szCs w:val="24"/>
        </w:rPr>
        <w:t>:</w:t>
      </w:r>
    </w:p>
    <w:sdt>
      <w:sdtPr>
        <w:rPr>
          <w:rFonts w:asciiTheme="minorHAnsi" w:hAnsiTheme="minorHAnsi" w:cstheme="minorBidi"/>
          <w:noProof w:val="0"/>
          <w:sz w:val="22"/>
          <w:szCs w:val="22"/>
        </w:rPr>
        <w:id w:val="477424152"/>
        <w:docPartObj>
          <w:docPartGallery w:val="Table of Contents"/>
          <w:docPartUnique/>
        </w:docPartObj>
      </w:sdtPr>
      <w:sdtEndPr>
        <w:rPr>
          <w:b/>
          <w:bCs/>
        </w:rPr>
      </w:sdtEndPr>
      <w:sdtContent>
        <w:p w:rsidR="004E655E" w:rsidRPr="008D63B8" w:rsidRDefault="004E655E" w:rsidP="004E655E">
          <w:pPr>
            <w:pStyle w:val="11"/>
            <w:rPr>
              <w:rFonts w:eastAsiaTheme="minorEastAsia"/>
              <w:sz w:val="22"/>
              <w:szCs w:val="22"/>
              <w:lang w:eastAsia="bg-BG"/>
            </w:rPr>
          </w:pPr>
          <w:r w:rsidRPr="008D63B8">
            <w:rPr>
              <w:noProof w:val="0"/>
              <w:sz w:val="22"/>
              <w:szCs w:val="22"/>
            </w:rPr>
            <w:fldChar w:fldCharType="begin"/>
          </w:r>
          <w:r w:rsidRPr="008D63B8">
            <w:rPr>
              <w:sz w:val="22"/>
              <w:szCs w:val="22"/>
            </w:rPr>
            <w:instrText xml:space="preserve"> TOC \o "1-3" \h \z \u </w:instrText>
          </w:r>
          <w:r w:rsidRPr="008D63B8">
            <w:rPr>
              <w:noProof w:val="0"/>
              <w:sz w:val="22"/>
              <w:szCs w:val="22"/>
            </w:rPr>
            <w:fldChar w:fldCharType="separate"/>
          </w:r>
          <w:hyperlink w:anchor="_Toc505614636" w:history="1">
            <w:r w:rsidRPr="008D63B8">
              <w:rPr>
                <w:rStyle w:val="ab"/>
                <w:sz w:val="22"/>
                <w:szCs w:val="22"/>
              </w:rPr>
              <w:t>СПИСЪК НА СЪКРАЩЕНИЯТА:</w:t>
            </w:r>
            <w:r w:rsidRPr="008D63B8">
              <w:rPr>
                <w:webHidden/>
                <w:sz w:val="22"/>
                <w:szCs w:val="22"/>
              </w:rPr>
              <w:tab/>
            </w:r>
            <w:r w:rsidRPr="008D63B8">
              <w:rPr>
                <w:webHidden/>
                <w:sz w:val="22"/>
                <w:szCs w:val="22"/>
              </w:rPr>
              <w:fldChar w:fldCharType="begin"/>
            </w:r>
            <w:r w:rsidRPr="008D63B8">
              <w:rPr>
                <w:webHidden/>
                <w:sz w:val="22"/>
                <w:szCs w:val="22"/>
              </w:rPr>
              <w:instrText xml:space="preserve"> PAGEREF _Toc505614636 \h </w:instrText>
            </w:r>
            <w:r w:rsidRPr="008D63B8">
              <w:rPr>
                <w:webHidden/>
                <w:sz w:val="22"/>
                <w:szCs w:val="22"/>
              </w:rPr>
            </w:r>
            <w:r w:rsidRPr="008D63B8">
              <w:rPr>
                <w:webHidden/>
                <w:sz w:val="22"/>
                <w:szCs w:val="22"/>
              </w:rPr>
              <w:fldChar w:fldCharType="separate"/>
            </w:r>
            <w:r w:rsidR="00103847">
              <w:rPr>
                <w:webHidden/>
                <w:sz w:val="22"/>
                <w:szCs w:val="22"/>
              </w:rPr>
              <w:t>4</w:t>
            </w:r>
            <w:r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37" w:history="1">
            <w:r w:rsidR="004E655E" w:rsidRPr="008D63B8">
              <w:rPr>
                <w:rStyle w:val="ab"/>
                <w:sz w:val="22"/>
                <w:szCs w:val="22"/>
              </w:rPr>
              <w:t>ОБЯСНИТЕЛНИ БЕЛЕЖКИ: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_Toc505614637 \h </w:instrText>
            </w:r>
            <w:r w:rsidR="004E655E" w:rsidRPr="008D63B8">
              <w:rPr>
                <w:webHidden/>
                <w:sz w:val="22"/>
                <w:szCs w:val="22"/>
              </w:rPr>
            </w:r>
            <w:r w:rsidR="004E655E" w:rsidRPr="008D63B8">
              <w:rPr>
                <w:webHidden/>
                <w:sz w:val="22"/>
                <w:szCs w:val="22"/>
              </w:rPr>
              <w:fldChar w:fldCharType="separate"/>
            </w:r>
            <w:r w:rsidR="00103847">
              <w:rPr>
                <w:webHidden/>
                <w:sz w:val="22"/>
                <w:szCs w:val="22"/>
              </w:rPr>
              <w:t>5</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38" w:history="1">
            <w:r w:rsidR="004E655E" w:rsidRPr="008D63B8">
              <w:rPr>
                <w:rStyle w:val="ab"/>
                <w:sz w:val="22"/>
                <w:szCs w:val="22"/>
              </w:rPr>
              <w:t>1. Наименование на програмата: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_Toc505614638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39" w:history="1">
            <w:r w:rsidR="004E655E" w:rsidRPr="008D63B8">
              <w:rPr>
                <w:rStyle w:val="ab"/>
                <w:sz w:val="22"/>
                <w:szCs w:val="22"/>
              </w:rPr>
              <w:t>2. Наименование на приоритетната ос:</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_Toc505614639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0" w:history="1">
            <w:r w:rsidR="004E655E" w:rsidRPr="008D63B8">
              <w:rPr>
                <w:rStyle w:val="ab"/>
                <w:sz w:val="22"/>
                <w:szCs w:val="22"/>
              </w:rPr>
              <w:t>3. Наименование на процедурата: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_Toc505614640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1" w:history="1">
            <w:r w:rsidR="004E655E" w:rsidRPr="008D63B8">
              <w:rPr>
                <w:rStyle w:val="ab"/>
                <w:sz w:val="22"/>
                <w:szCs w:val="22"/>
              </w:rPr>
              <w:t>4. Измерения по кодове: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_Toc505614641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2" w:history="1">
            <w:r w:rsidR="004E655E" w:rsidRPr="008D63B8">
              <w:rPr>
                <w:rStyle w:val="ab"/>
                <w:sz w:val="22"/>
                <w:szCs w:val="22"/>
              </w:rPr>
              <w:t>5. Териториален обхват:</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_Toc505614642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3" w:history="1">
            <w:r w:rsidR="004E655E" w:rsidRPr="008D63B8">
              <w:rPr>
                <w:rStyle w:val="ab"/>
                <w:sz w:val="22"/>
                <w:szCs w:val="22"/>
              </w:rPr>
              <w:t>6. Цели на предоставяната безвъзмездна финансова помощ по процедурата и очаквани резултати: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_Toc505614643 \h </w:instrText>
            </w:r>
            <w:r w:rsidR="004E655E" w:rsidRPr="008D63B8">
              <w:rPr>
                <w:webHidden/>
                <w:sz w:val="22"/>
                <w:szCs w:val="22"/>
              </w:rPr>
            </w:r>
            <w:r w:rsidR="004E655E" w:rsidRPr="008D63B8">
              <w:rPr>
                <w:webHidden/>
                <w:sz w:val="22"/>
                <w:szCs w:val="22"/>
              </w:rPr>
              <w:fldChar w:fldCharType="separate"/>
            </w:r>
            <w:r w:rsidR="00103847">
              <w:rPr>
                <w:webHidden/>
                <w:sz w:val="22"/>
                <w:szCs w:val="22"/>
              </w:rPr>
              <w:t>12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4" w:history="1">
            <w:r w:rsidR="004E655E" w:rsidRPr="008D63B8">
              <w:rPr>
                <w:rStyle w:val="ab"/>
                <w:sz w:val="22"/>
                <w:szCs w:val="22"/>
              </w:rPr>
              <w:t>7. Индикатори: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_Toc505614644 \h </w:instrText>
            </w:r>
            <w:r w:rsidR="004E655E" w:rsidRPr="008D63B8">
              <w:rPr>
                <w:webHidden/>
                <w:sz w:val="22"/>
                <w:szCs w:val="22"/>
              </w:rPr>
            </w:r>
            <w:r w:rsidR="004E655E" w:rsidRPr="008D63B8">
              <w:rPr>
                <w:webHidden/>
                <w:sz w:val="22"/>
                <w:szCs w:val="22"/>
              </w:rPr>
              <w:fldChar w:fldCharType="separate"/>
            </w:r>
            <w:r w:rsidR="00103847">
              <w:rPr>
                <w:webHidden/>
                <w:sz w:val="22"/>
                <w:szCs w:val="22"/>
              </w:rPr>
              <w:t>14</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5" w:history="1">
            <w:r w:rsidR="004E655E" w:rsidRPr="008D63B8">
              <w:rPr>
                <w:rStyle w:val="ab"/>
                <w:sz w:val="22"/>
                <w:szCs w:val="22"/>
              </w:rPr>
              <w:t>8. Общ размер на безвъзмездната финансова помощ по процедурата: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_Toc505614645 \h </w:instrText>
            </w:r>
            <w:r w:rsidR="004E655E" w:rsidRPr="008D63B8">
              <w:rPr>
                <w:webHidden/>
                <w:sz w:val="22"/>
                <w:szCs w:val="22"/>
              </w:rPr>
            </w:r>
            <w:r w:rsidR="004E655E" w:rsidRPr="008D63B8">
              <w:rPr>
                <w:webHidden/>
                <w:sz w:val="22"/>
                <w:szCs w:val="22"/>
              </w:rPr>
              <w:fldChar w:fldCharType="separate"/>
            </w:r>
            <w:r w:rsidR="00103847">
              <w:rPr>
                <w:webHidden/>
                <w:sz w:val="22"/>
                <w:szCs w:val="22"/>
              </w:rPr>
              <w:t>15</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6" w:history="1">
            <w:r w:rsidR="004E655E" w:rsidRPr="008D63B8">
              <w:rPr>
                <w:rStyle w:val="ab"/>
                <w:sz w:val="22"/>
                <w:szCs w:val="22"/>
              </w:rPr>
              <w:t>9. Минимален и максимален размер на допустимите разходи за конкретен проект:</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_Toc505614646 \h </w:instrText>
            </w:r>
            <w:r w:rsidR="004E655E" w:rsidRPr="008D63B8">
              <w:rPr>
                <w:webHidden/>
                <w:sz w:val="22"/>
                <w:szCs w:val="22"/>
              </w:rPr>
            </w:r>
            <w:r w:rsidR="004E655E" w:rsidRPr="008D63B8">
              <w:rPr>
                <w:webHidden/>
                <w:sz w:val="22"/>
                <w:szCs w:val="22"/>
              </w:rPr>
              <w:fldChar w:fldCharType="separate"/>
            </w:r>
            <w:r w:rsidR="00103847">
              <w:rPr>
                <w:webHidden/>
                <w:sz w:val="22"/>
                <w:szCs w:val="22"/>
              </w:rPr>
              <w:t>15</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47" w:history="1">
            <w:r w:rsidR="004E655E" w:rsidRPr="008D63B8">
              <w:rPr>
                <w:rStyle w:val="ab"/>
                <w:sz w:val="22"/>
                <w:szCs w:val="22"/>
              </w:rPr>
              <w:t>10. Процент на съфинансиране: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_Toc505614647 \h </w:instrText>
            </w:r>
            <w:r w:rsidR="004E655E" w:rsidRPr="008D63B8">
              <w:rPr>
                <w:webHidden/>
                <w:sz w:val="22"/>
                <w:szCs w:val="22"/>
              </w:rPr>
            </w:r>
            <w:r w:rsidR="004E655E" w:rsidRPr="008D63B8">
              <w:rPr>
                <w:webHidden/>
                <w:sz w:val="22"/>
                <w:szCs w:val="22"/>
              </w:rPr>
              <w:fldChar w:fldCharType="separate"/>
            </w:r>
            <w:r w:rsidR="00103847">
              <w:rPr>
                <w:webHidden/>
                <w:sz w:val="22"/>
                <w:szCs w:val="22"/>
              </w:rPr>
              <w:t>16</w:t>
            </w:r>
            <w:r w:rsidR="004E655E" w:rsidRPr="008D63B8">
              <w:rPr>
                <w:webHidden/>
                <w:sz w:val="22"/>
                <w:szCs w:val="22"/>
              </w:rPr>
              <w:fldChar w:fldCharType="end"/>
            </w:r>
          </w:hyperlink>
        </w:p>
        <w:p w:rsidR="004E655E" w:rsidRPr="008D63B8" w:rsidRDefault="00246C3B" w:rsidP="004E655E">
          <w:pPr>
            <w:pStyle w:val="11"/>
            <w:rPr>
              <w:sz w:val="22"/>
              <w:szCs w:val="22"/>
            </w:rPr>
          </w:pPr>
          <w:hyperlink w:anchor="_Toc505614648" w:history="1">
            <w:r w:rsidR="004E655E" w:rsidRPr="008D63B8">
              <w:rPr>
                <w:rStyle w:val="ab"/>
                <w:sz w:val="22"/>
                <w:szCs w:val="22"/>
              </w:rPr>
              <w:t>11. Допустими кандидати: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_Toc505614648 \h </w:instrText>
            </w:r>
            <w:r w:rsidR="004E655E" w:rsidRPr="008D63B8">
              <w:rPr>
                <w:webHidden/>
                <w:sz w:val="22"/>
                <w:szCs w:val="22"/>
              </w:rPr>
            </w:r>
            <w:r w:rsidR="004E655E" w:rsidRPr="008D63B8">
              <w:rPr>
                <w:webHidden/>
                <w:sz w:val="22"/>
                <w:szCs w:val="22"/>
              </w:rPr>
              <w:fldChar w:fldCharType="separate"/>
            </w:r>
            <w:r w:rsidR="00103847">
              <w:rPr>
                <w:webHidden/>
                <w:sz w:val="22"/>
                <w:szCs w:val="22"/>
              </w:rPr>
              <w:t>16</w:t>
            </w:r>
            <w:r w:rsidR="004E655E" w:rsidRPr="008D63B8">
              <w:rPr>
                <w:webHidden/>
                <w:sz w:val="22"/>
                <w:szCs w:val="22"/>
              </w:rPr>
              <w:fldChar w:fldCharType="end"/>
            </w:r>
          </w:hyperlink>
        </w:p>
        <w:p w:rsidR="004E655E" w:rsidRPr="008E6815" w:rsidRDefault="004E655E" w:rsidP="004E655E">
          <w:pPr>
            <w:rPr>
              <w:rStyle w:val="ab"/>
              <w:rFonts w:ascii="Times New Roman" w:hAnsi="Times New Roman" w:cs="Times New Roman"/>
              <w:noProof/>
              <w:color w:val="auto"/>
              <w:u w:val="none"/>
            </w:rPr>
          </w:pPr>
          <w:r w:rsidRPr="008D63B8">
            <w:rPr>
              <w:rFonts w:ascii="Times New Roman" w:hAnsi="Times New Roman" w:cs="Times New Roman"/>
            </w:rPr>
            <w:t>11.1.</w:t>
          </w:r>
          <w:r w:rsidRPr="008D63B8">
            <w:rPr>
              <w:rStyle w:val="ab"/>
              <w:rFonts w:ascii="Times New Roman" w:hAnsi="Times New Roman" w:cs="Times New Roman"/>
              <w:noProof/>
            </w:rPr>
            <w:t xml:space="preserve"> </w:t>
          </w:r>
          <w:r w:rsidRPr="008E6815">
            <w:rPr>
              <w:rStyle w:val="ab"/>
              <w:rFonts w:ascii="Times New Roman" w:hAnsi="Times New Roman" w:cs="Times New Roman"/>
              <w:noProof/>
              <w:color w:val="auto"/>
              <w:u w:val="none"/>
            </w:rPr>
            <w:t>Критерии за допустимост на кандидатите………………………………………....................13</w:t>
          </w:r>
        </w:p>
        <w:p w:rsidR="004E655E" w:rsidRPr="008E6815" w:rsidRDefault="00246C3B" w:rsidP="004E655E">
          <w:pPr>
            <w:pStyle w:val="11"/>
            <w:rPr>
              <w:rFonts w:eastAsiaTheme="minorEastAsia"/>
              <w:sz w:val="22"/>
              <w:szCs w:val="22"/>
              <w:lang w:eastAsia="bg-BG"/>
            </w:rPr>
          </w:pPr>
          <w:hyperlink w:anchor="_Toc505614649" w:history="1">
            <w:r w:rsidR="004E655E" w:rsidRPr="008E6815">
              <w:rPr>
                <w:rStyle w:val="ab"/>
                <w:color w:val="auto"/>
                <w:sz w:val="22"/>
                <w:szCs w:val="22"/>
                <w:u w:val="none"/>
              </w:rPr>
              <w:t>11.2 Критерии за недопустимост на кандидатите:</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_Toc505614649 \h </w:instrText>
            </w:r>
            <w:r w:rsidR="004E655E" w:rsidRPr="008E6815">
              <w:rPr>
                <w:webHidden/>
                <w:sz w:val="22"/>
                <w:szCs w:val="22"/>
              </w:rPr>
            </w:r>
            <w:r w:rsidR="004E655E" w:rsidRPr="008E6815">
              <w:rPr>
                <w:webHidden/>
                <w:sz w:val="22"/>
                <w:szCs w:val="22"/>
              </w:rPr>
              <w:fldChar w:fldCharType="separate"/>
            </w:r>
            <w:r w:rsidR="00103847">
              <w:rPr>
                <w:webHidden/>
                <w:sz w:val="22"/>
                <w:szCs w:val="22"/>
              </w:rPr>
              <w:t>19</w:t>
            </w:r>
            <w:r w:rsidR="004E655E" w:rsidRPr="008E6815">
              <w:rPr>
                <w:webHidden/>
                <w:sz w:val="22"/>
                <w:szCs w:val="22"/>
              </w:rPr>
              <w:fldChar w:fldCharType="end"/>
            </w:r>
          </w:hyperlink>
        </w:p>
        <w:p w:rsidR="004E655E" w:rsidRPr="008E6815" w:rsidRDefault="00246C3B" w:rsidP="004E655E">
          <w:pPr>
            <w:pStyle w:val="11"/>
            <w:rPr>
              <w:rFonts w:eastAsiaTheme="minorEastAsia"/>
              <w:sz w:val="22"/>
              <w:szCs w:val="22"/>
              <w:lang w:eastAsia="bg-BG"/>
            </w:rPr>
          </w:pPr>
          <w:hyperlink w:anchor="_Toc505614650" w:history="1">
            <w:r w:rsidR="004E655E" w:rsidRPr="008E6815">
              <w:rPr>
                <w:rStyle w:val="ab"/>
                <w:color w:val="auto"/>
                <w:sz w:val="22"/>
                <w:szCs w:val="22"/>
                <w:u w:val="none"/>
              </w:rPr>
              <w:t>12. Допустими партньори:</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_Toc505614650 \h </w:instrText>
            </w:r>
            <w:r w:rsidR="004E655E" w:rsidRPr="008E6815">
              <w:rPr>
                <w:webHidden/>
                <w:sz w:val="22"/>
                <w:szCs w:val="22"/>
              </w:rPr>
            </w:r>
            <w:r w:rsidR="004E655E" w:rsidRPr="008E6815">
              <w:rPr>
                <w:webHidden/>
                <w:sz w:val="22"/>
                <w:szCs w:val="22"/>
              </w:rPr>
              <w:fldChar w:fldCharType="separate"/>
            </w:r>
            <w:r w:rsidR="00103847">
              <w:rPr>
                <w:webHidden/>
                <w:sz w:val="22"/>
                <w:szCs w:val="22"/>
              </w:rPr>
              <w:t>21</w:t>
            </w:r>
            <w:r w:rsidR="004E655E" w:rsidRPr="008E6815">
              <w:rPr>
                <w:webHidden/>
                <w:sz w:val="22"/>
                <w:szCs w:val="22"/>
              </w:rPr>
              <w:fldChar w:fldCharType="end"/>
            </w:r>
          </w:hyperlink>
        </w:p>
        <w:p w:rsidR="004E655E" w:rsidRPr="008E6815" w:rsidRDefault="00246C3B" w:rsidP="004E655E">
          <w:pPr>
            <w:pStyle w:val="11"/>
            <w:rPr>
              <w:sz w:val="22"/>
              <w:szCs w:val="22"/>
            </w:rPr>
          </w:pPr>
          <w:hyperlink w:anchor="_Toc505614651" w:history="1">
            <w:r w:rsidR="004E655E" w:rsidRPr="008E6815">
              <w:rPr>
                <w:rStyle w:val="ab"/>
                <w:color w:val="auto"/>
                <w:sz w:val="22"/>
                <w:szCs w:val="22"/>
                <w:u w:val="none"/>
              </w:rPr>
              <w:t>13. Дейности, допустими за финансиране:</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_Toc505614651 \h </w:instrText>
            </w:r>
            <w:r w:rsidR="004E655E" w:rsidRPr="008E6815">
              <w:rPr>
                <w:webHidden/>
                <w:sz w:val="22"/>
                <w:szCs w:val="22"/>
              </w:rPr>
            </w:r>
            <w:r w:rsidR="004E655E" w:rsidRPr="008E6815">
              <w:rPr>
                <w:webHidden/>
                <w:sz w:val="22"/>
                <w:szCs w:val="22"/>
              </w:rPr>
              <w:fldChar w:fldCharType="separate"/>
            </w:r>
            <w:r w:rsidR="00103847">
              <w:rPr>
                <w:webHidden/>
                <w:sz w:val="22"/>
                <w:szCs w:val="22"/>
              </w:rPr>
              <w:t>21</w:t>
            </w:r>
            <w:r w:rsidR="004E655E" w:rsidRPr="008E6815">
              <w:rPr>
                <w:webHidden/>
                <w:sz w:val="22"/>
                <w:szCs w:val="22"/>
              </w:rPr>
              <w:fldChar w:fldCharType="end"/>
            </w:r>
          </w:hyperlink>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13.1. Допустими дейности…………………………………………………………………………...15</w:t>
          </w:r>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13. 2. Условия за допустимост на дейностите………………………………………………………16</w:t>
          </w:r>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13.3. Недопустими дейности……………………………………………………………...................19</w:t>
          </w:r>
        </w:p>
        <w:p w:rsidR="004E655E" w:rsidRPr="008E6815" w:rsidRDefault="00246C3B" w:rsidP="004E655E">
          <w:pPr>
            <w:pStyle w:val="11"/>
            <w:rPr>
              <w:sz w:val="22"/>
              <w:szCs w:val="22"/>
            </w:rPr>
          </w:pPr>
          <w:hyperlink w:anchor="_Toc505614652" w:history="1">
            <w:r w:rsidR="004E655E" w:rsidRPr="008E6815">
              <w:rPr>
                <w:rStyle w:val="ab"/>
                <w:color w:val="auto"/>
                <w:sz w:val="22"/>
                <w:szCs w:val="22"/>
                <w:u w:val="none"/>
              </w:rPr>
              <w:t>14. Категории разходи, допустими за финансиране:</w:t>
            </w:r>
            <w:r w:rsidR="004E655E" w:rsidRPr="008E6815">
              <w:rPr>
                <w:webHidden/>
                <w:sz w:val="22"/>
                <w:szCs w:val="22"/>
              </w:rPr>
              <w:tab/>
            </w:r>
            <w:r w:rsidR="004E655E" w:rsidRPr="008E6815">
              <w:rPr>
                <w:webHidden/>
                <w:sz w:val="22"/>
                <w:szCs w:val="22"/>
              </w:rPr>
              <w:fldChar w:fldCharType="begin"/>
            </w:r>
            <w:r w:rsidR="004E655E" w:rsidRPr="008E6815">
              <w:rPr>
                <w:webHidden/>
                <w:sz w:val="22"/>
                <w:szCs w:val="22"/>
              </w:rPr>
              <w:instrText xml:space="preserve"> PAGEREF _Toc505614652 \h </w:instrText>
            </w:r>
            <w:r w:rsidR="004E655E" w:rsidRPr="008E6815">
              <w:rPr>
                <w:webHidden/>
                <w:sz w:val="22"/>
                <w:szCs w:val="22"/>
              </w:rPr>
            </w:r>
            <w:r w:rsidR="004E655E" w:rsidRPr="008E6815">
              <w:rPr>
                <w:webHidden/>
                <w:sz w:val="22"/>
                <w:szCs w:val="22"/>
              </w:rPr>
              <w:fldChar w:fldCharType="separate"/>
            </w:r>
            <w:r w:rsidR="00103847">
              <w:rPr>
                <w:webHidden/>
                <w:sz w:val="22"/>
                <w:szCs w:val="22"/>
              </w:rPr>
              <w:t>29</w:t>
            </w:r>
            <w:r w:rsidR="004E655E" w:rsidRPr="008E6815">
              <w:rPr>
                <w:webHidden/>
                <w:sz w:val="22"/>
                <w:szCs w:val="22"/>
              </w:rPr>
              <w:fldChar w:fldCharType="end"/>
            </w:r>
          </w:hyperlink>
        </w:p>
        <w:p w:rsidR="004E655E" w:rsidRPr="008E6815" w:rsidRDefault="004E655E" w:rsidP="004E655E">
          <w:pPr>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14.1. Допустими разходи…………………………………………………………………………….20</w:t>
          </w:r>
        </w:p>
        <w:p w:rsidR="004E655E" w:rsidRPr="008D63B8" w:rsidRDefault="00246C3B" w:rsidP="004E655E">
          <w:pPr>
            <w:pStyle w:val="11"/>
            <w:rPr>
              <w:rFonts w:eastAsiaTheme="minorEastAsia"/>
              <w:sz w:val="22"/>
              <w:szCs w:val="22"/>
              <w:lang w:eastAsia="bg-BG"/>
            </w:rPr>
          </w:pPr>
          <w:hyperlink w:anchor="_Toc505614653" w:history="1">
            <w:r w:rsidR="004E655E" w:rsidRPr="008D63B8">
              <w:rPr>
                <w:rStyle w:val="ab"/>
                <w:sz w:val="22"/>
                <w:szCs w:val="22"/>
              </w:rPr>
              <w:t>14. 2. Условия за допустимост на разходите: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_Toc505614653 \h </w:instrText>
            </w:r>
            <w:r w:rsidR="004E655E" w:rsidRPr="008D63B8">
              <w:rPr>
                <w:webHidden/>
                <w:sz w:val="22"/>
                <w:szCs w:val="22"/>
              </w:rPr>
            </w:r>
            <w:r w:rsidR="004E655E" w:rsidRPr="008D63B8">
              <w:rPr>
                <w:webHidden/>
                <w:sz w:val="22"/>
                <w:szCs w:val="22"/>
              </w:rPr>
              <w:fldChar w:fldCharType="separate"/>
            </w:r>
            <w:r w:rsidR="00103847">
              <w:rPr>
                <w:webHidden/>
                <w:sz w:val="22"/>
                <w:szCs w:val="22"/>
              </w:rPr>
              <w:t>30</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54" w:history="1">
            <w:r w:rsidR="004E655E" w:rsidRPr="008D63B8">
              <w:rPr>
                <w:rStyle w:val="ab"/>
                <w:sz w:val="22"/>
                <w:szCs w:val="22"/>
              </w:rPr>
              <w:t>14. 3. Недопустими разходи: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_Toc505614654 \h </w:instrText>
            </w:r>
            <w:r w:rsidR="004E655E" w:rsidRPr="008D63B8">
              <w:rPr>
                <w:webHidden/>
                <w:sz w:val="22"/>
                <w:szCs w:val="22"/>
              </w:rPr>
            </w:r>
            <w:r w:rsidR="004E655E" w:rsidRPr="008D63B8">
              <w:rPr>
                <w:webHidden/>
                <w:sz w:val="22"/>
                <w:szCs w:val="22"/>
              </w:rPr>
              <w:fldChar w:fldCharType="separate"/>
            </w:r>
            <w:r w:rsidR="00103847">
              <w:rPr>
                <w:webHidden/>
                <w:sz w:val="22"/>
                <w:szCs w:val="22"/>
              </w:rPr>
              <w:t>32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55" w:history="1">
            <w:r w:rsidR="004E655E" w:rsidRPr="008D63B8">
              <w:rPr>
                <w:rStyle w:val="ab"/>
                <w:sz w:val="22"/>
                <w:szCs w:val="22"/>
              </w:rPr>
              <w:t>15. Допустими целеви групи (ако е приложимо):</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_Toc505614655 \h </w:instrText>
            </w:r>
            <w:r w:rsidR="004E655E" w:rsidRPr="008D63B8">
              <w:rPr>
                <w:webHidden/>
                <w:sz w:val="22"/>
                <w:szCs w:val="22"/>
              </w:rPr>
            </w:r>
            <w:r w:rsidR="004E655E" w:rsidRPr="008D63B8">
              <w:rPr>
                <w:webHidden/>
                <w:sz w:val="22"/>
                <w:szCs w:val="22"/>
              </w:rPr>
              <w:fldChar w:fldCharType="separate"/>
            </w:r>
            <w:r w:rsidR="00103847">
              <w:rPr>
                <w:webHidden/>
                <w:sz w:val="22"/>
                <w:szCs w:val="22"/>
              </w:rPr>
              <w:t>34</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56" w:history="1">
            <w:r w:rsidR="004E655E" w:rsidRPr="008D63B8">
              <w:rPr>
                <w:rStyle w:val="ab"/>
                <w:sz w:val="22"/>
                <w:szCs w:val="22"/>
              </w:rPr>
              <w:t>16. Приложим режим на минимални/държавни помощи: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_Toc505614656 \h </w:instrText>
            </w:r>
            <w:r w:rsidR="004E655E" w:rsidRPr="008D63B8">
              <w:rPr>
                <w:webHidden/>
                <w:sz w:val="22"/>
                <w:szCs w:val="22"/>
              </w:rPr>
            </w:r>
            <w:r w:rsidR="004E655E" w:rsidRPr="008D63B8">
              <w:rPr>
                <w:webHidden/>
                <w:sz w:val="22"/>
                <w:szCs w:val="22"/>
              </w:rPr>
              <w:fldChar w:fldCharType="separate"/>
            </w:r>
            <w:r w:rsidR="00103847">
              <w:rPr>
                <w:webHidden/>
                <w:sz w:val="22"/>
                <w:szCs w:val="22"/>
              </w:rPr>
              <w:t>34</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57" w:history="1">
            <w:r w:rsidR="004E655E" w:rsidRPr="008D63B8">
              <w:rPr>
                <w:rStyle w:val="ab"/>
                <w:sz w:val="22"/>
                <w:szCs w:val="22"/>
              </w:rPr>
              <w:t>17. Хоризонтални политики:</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_Toc505614657 \h </w:instrText>
            </w:r>
            <w:r w:rsidR="004E655E" w:rsidRPr="008D63B8">
              <w:rPr>
                <w:webHidden/>
                <w:sz w:val="22"/>
                <w:szCs w:val="22"/>
              </w:rPr>
            </w:r>
            <w:r w:rsidR="004E655E" w:rsidRPr="008D63B8">
              <w:rPr>
                <w:webHidden/>
                <w:sz w:val="22"/>
                <w:szCs w:val="22"/>
              </w:rPr>
              <w:fldChar w:fldCharType="separate"/>
            </w:r>
            <w:r w:rsidR="00103847">
              <w:rPr>
                <w:webHidden/>
                <w:sz w:val="22"/>
                <w:szCs w:val="22"/>
              </w:rPr>
              <w:t>45</w:t>
            </w:r>
            <w:r w:rsidR="004E655E" w:rsidRPr="008D63B8">
              <w:rPr>
                <w:webHidden/>
                <w:sz w:val="22"/>
                <w:szCs w:val="22"/>
              </w:rPr>
              <w:fldChar w:fldCharType="end"/>
            </w:r>
          </w:hyperlink>
        </w:p>
        <w:p w:rsidR="004E655E" w:rsidRPr="008D63B8" w:rsidRDefault="00246C3B" w:rsidP="004E655E">
          <w:pPr>
            <w:pStyle w:val="11"/>
            <w:rPr>
              <w:sz w:val="22"/>
              <w:szCs w:val="22"/>
            </w:rPr>
          </w:pPr>
          <w:hyperlink w:anchor="_Toc505614658" w:history="1">
            <w:r w:rsidR="004E655E" w:rsidRPr="008D63B8">
              <w:rPr>
                <w:rStyle w:val="ab"/>
                <w:sz w:val="22"/>
                <w:szCs w:val="22"/>
              </w:rPr>
              <w:t>18. Минимален и максимален срок за изпълнение на проекта: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_Toc505614658 \h </w:instrText>
            </w:r>
            <w:r w:rsidR="004E655E" w:rsidRPr="008D63B8">
              <w:rPr>
                <w:webHidden/>
                <w:sz w:val="22"/>
                <w:szCs w:val="22"/>
              </w:rPr>
            </w:r>
            <w:r w:rsidR="004E655E" w:rsidRPr="008D63B8">
              <w:rPr>
                <w:webHidden/>
                <w:sz w:val="22"/>
                <w:szCs w:val="22"/>
              </w:rPr>
              <w:fldChar w:fldCharType="separate"/>
            </w:r>
            <w:r w:rsidR="00103847">
              <w:rPr>
                <w:webHidden/>
                <w:sz w:val="22"/>
                <w:szCs w:val="22"/>
              </w:rPr>
              <w:t>47</w:t>
            </w:r>
            <w:r w:rsidR="004E655E" w:rsidRPr="008D63B8">
              <w:rPr>
                <w:webHidden/>
                <w:sz w:val="22"/>
                <w:szCs w:val="22"/>
              </w:rPr>
              <w:fldChar w:fldCharType="end"/>
            </w:r>
          </w:hyperlink>
        </w:p>
        <w:p w:rsidR="004E655E" w:rsidRPr="008D63B8" w:rsidRDefault="004E655E" w:rsidP="004E655E">
          <w:pPr>
            <w:pStyle w:val="11"/>
            <w:rPr>
              <w:rFonts w:eastAsiaTheme="minorEastAsia"/>
              <w:sz w:val="22"/>
              <w:szCs w:val="22"/>
              <w:lang w:eastAsia="bg-BG"/>
            </w:rPr>
          </w:pPr>
          <w:r w:rsidRPr="008D63B8">
            <w:rPr>
              <w:sz w:val="22"/>
              <w:szCs w:val="22"/>
            </w:rPr>
            <w:t>19. Ред за оценяване на проектните предложения ………………………………………</w:t>
          </w:r>
          <w:r>
            <w:rPr>
              <w:sz w:val="22"/>
              <w:szCs w:val="22"/>
            </w:rPr>
            <w:t>…………</w:t>
          </w:r>
          <w:r w:rsidRPr="008D63B8">
            <w:rPr>
              <w:sz w:val="22"/>
              <w:szCs w:val="22"/>
            </w:rPr>
            <w:t>34</w:t>
          </w:r>
          <w:hyperlink w:anchor="_Toc505614659" w:history="1"/>
        </w:p>
        <w:p w:rsidR="004E655E" w:rsidRPr="008D63B8" w:rsidRDefault="00246C3B" w:rsidP="004E655E">
          <w:pPr>
            <w:pStyle w:val="11"/>
            <w:rPr>
              <w:rFonts w:eastAsiaTheme="minorEastAsia"/>
              <w:sz w:val="22"/>
              <w:szCs w:val="22"/>
              <w:lang w:eastAsia="bg-BG"/>
            </w:rPr>
          </w:pPr>
          <w:hyperlink w:anchor="_Toc505614660" w:history="1">
            <w:r w:rsidR="004E655E" w:rsidRPr="008D63B8">
              <w:rPr>
                <w:rStyle w:val="ab"/>
                <w:sz w:val="22"/>
                <w:szCs w:val="22"/>
              </w:rPr>
              <w:t>20. Оценка на административното съответствие и допустимост:</w:t>
            </w:r>
          </w:hyperlink>
          <w:r w:rsidR="004E655E" w:rsidRPr="008D63B8">
            <w:rPr>
              <w:sz w:val="22"/>
              <w:szCs w:val="22"/>
            </w:rPr>
            <w:t>………………………</w:t>
          </w:r>
          <w:r w:rsidR="004E655E">
            <w:rPr>
              <w:sz w:val="22"/>
              <w:szCs w:val="22"/>
            </w:rPr>
            <w:t>…………</w:t>
          </w:r>
          <w:r w:rsidR="004E655E" w:rsidRPr="008D63B8">
            <w:rPr>
              <w:sz w:val="22"/>
              <w:szCs w:val="22"/>
            </w:rPr>
            <w:t>35</w:t>
          </w:r>
        </w:p>
        <w:p w:rsidR="004E655E" w:rsidRPr="008D63B8" w:rsidRDefault="00246C3B" w:rsidP="004E655E">
          <w:pPr>
            <w:pStyle w:val="11"/>
            <w:rPr>
              <w:rFonts w:eastAsiaTheme="minorEastAsia"/>
              <w:sz w:val="22"/>
              <w:szCs w:val="22"/>
              <w:lang w:eastAsia="bg-BG"/>
            </w:rPr>
          </w:pPr>
          <w:hyperlink w:anchor="_Toc505614661" w:history="1">
            <w:r w:rsidR="004E655E" w:rsidRPr="008D63B8">
              <w:rPr>
                <w:rStyle w:val="ab"/>
                <w:sz w:val="22"/>
                <w:szCs w:val="22"/>
              </w:rPr>
              <w:t>21. Техническа и финансова оценка:</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_Toc505614661 \h </w:instrText>
            </w:r>
            <w:r w:rsidR="004E655E" w:rsidRPr="008D63B8">
              <w:rPr>
                <w:webHidden/>
                <w:sz w:val="22"/>
                <w:szCs w:val="22"/>
              </w:rPr>
            </w:r>
            <w:r w:rsidR="004E655E" w:rsidRPr="008D63B8">
              <w:rPr>
                <w:webHidden/>
                <w:sz w:val="22"/>
                <w:szCs w:val="22"/>
              </w:rPr>
              <w:fldChar w:fldCharType="separate"/>
            </w:r>
            <w:r w:rsidR="00103847">
              <w:rPr>
                <w:webHidden/>
                <w:sz w:val="22"/>
                <w:szCs w:val="22"/>
              </w:rPr>
              <w:t>48</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65" w:history="1">
            <w:r w:rsidR="004E655E" w:rsidRPr="008D63B8">
              <w:rPr>
                <w:rStyle w:val="ab"/>
                <w:sz w:val="22"/>
                <w:szCs w:val="22"/>
              </w:rPr>
              <w:t>22. Критерии и методика за оценка на проектните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_Toc505614665 \h </w:instrText>
            </w:r>
            <w:r w:rsidR="004E655E" w:rsidRPr="008D63B8">
              <w:rPr>
                <w:webHidden/>
                <w:sz w:val="22"/>
                <w:szCs w:val="22"/>
              </w:rPr>
            </w:r>
            <w:r w:rsidR="004E655E" w:rsidRPr="008D63B8">
              <w:rPr>
                <w:webHidden/>
                <w:sz w:val="22"/>
                <w:szCs w:val="22"/>
              </w:rPr>
              <w:fldChar w:fldCharType="separate"/>
            </w:r>
            <w:r w:rsidR="00103847">
              <w:rPr>
                <w:webHidden/>
                <w:sz w:val="22"/>
                <w:szCs w:val="22"/>
              </w:rPr>
              <w:t>52</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66" w:history="1">
            <w:r w:rsidR="004E655E" w:rsidRPr="008D63B8">
              <w:rPr>
                <w:rStyle w:val="ab"/>
                <w:sz w:val="22"/>
                <w:szCs w:val="22"/>
              </w:rPr>
              <w:t>23. Начин на подаване на проектните предложения/концепциите за проектни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_Toc505614666 \h </w:instrText>
            </w:r>
            <w:r w:rsidR="004E655E" w:rsidRPr="008D63B8">
              <w:rPr>
                <w:webHidden/>
                <w:sz w:val="22"/>
                <w:szCs w:val="22"/>
              </w:rPr>
            </w:r>
            <w:r w:rsidR="004E655E" w:rsidRPr="008D63B8">
              <w:rPr>
                <w:webHidden/>
                <w:sz w:val="22"/>
                <w:szCs w:val="22"/>
              </w:rPr>
              <w:fldChar w:fldCharType="separate"/>
            </w:r>
            <w:r w:rsidR="00103847">
              <w:rPr>
                <w:webHidden/>
                <w:sz w:val="22"/>
                <w:szCs w:val="22"/>
              </w:rPr>
              <w:t>53</w:t>
            </w:r>
            <w:r w:rsidR="004E655E" w:rsidRPr="008D63B8">
              <w:rPr>
                <w:webHidden/>
                <w:sz w:val="22"/>
                <w:szCs w:val="22"/>
              </w:rPr>
              <w:fldChar w:fldCharType="end"/>
            </w:r>
          </w:hyperlink>
        </w:p>
        <w:p w:rsidR="004E655E" w:rsidRPr="008D63B8" w:rsidRDefault="00246C3B" w:rsidP="004E655E">
          <w:pPr>
            <w:pStyle w:val="11"/>
            <w:rPr>
              <w:sz w:val="22"/>
              <w:szCs w:val="22"/>
            </w:rPr>
          </w:pPr>
          <w:hyperlink w:anchor="_Toc505614667" w:history="1">
            <w:r w:rsidR="004E655E" w:rsidRPr="008D63B8">
              <w:rPr>
                <w:rStyle w:val="ab"/>
                <w:sz w:val="22"/>
                <w:szCs w:val="22"/>
              </w:rPr>
              <w:t>24. Списък на документите, които се подават на етап кандидатстване: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_Toc505614667 \h </w:instrText>
            </w:r>
            <w:r w:rsidR="004E655E" w:rsidRPr="008D63B8">
              <w:rPr>
                <w:webHidden/>
                <w:sz w:val="22"/>
                <w:szCs w:val="22"/>
              </w:rPr>
            </w:r>
            <w:r w:rsidR="004E655E" w:rsidRPr="008D63B8">
              <w:rPr>
                <w:webHidden/>
                <w:sz w:val="22"/>
                <w:szCs w:val="22"/>
              </w:rPr>
              <w:fldChar w:fldCharType="separate"/>
            </w:r>
            <w:r w:rsidR="00103847">
              <w:rPr>
                <w:webHidden/>
                <w:sz w:val="22"/>
                <w:szCs w:val="22"/>
              </w:rPr>
              <w:t>56</w:t>
            </w:r>
            <w:r w:rsidR="004E655E" w:rsidRPr="008D63B8">
              <w:rPr>
                <w:webHidden/>
                <w:sz w:val="22"/>
                <w:szCs w:val="22"/>
              </w:rPr>
              <w:fldChar w:fldCharType="end"/>
            </w:r>
          </w:hyperlink>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24.1. Списък с общи документи……………………………………..................................................40</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24.2. Списък със специфични документи за дейността строителство, реконструкция и/или рехабилитация на нови и съществуващи общински пътища, улици и тротоари……………………………………………………………………………………………….46</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24.3. Списък със специфични документи за дейността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значение……………………..................................................................46</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24.4. Списък със специфични документи за дейността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ефективност……………......................46</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24.5. Списък със специфични документи за поддейност реконструкция, ремонт, оборудване и/или обзавеждане на общинска образователна инфраструктура с местно значение в селските райони…………………………………………………………….......................................................47</w:t>
          </w:r>
        </w:p>
        <w:p w:rsidR="004E655E" w:rsidRPr="008E6815" w:rsidRDefault="004E655E" w:rsidP="004E655E">
          <w:pPr>
            <w:jc w:val="both"/>
            <w:rPr>
              <w:rStyle w:val="ab"/>
              <w:rFonts w:ascii="Times New Roman" w:hAnsi="Times New Roman" w:cs="Times New Roman"/>
              <w:noProof/>
              <w:color w:val="auto"/>
              <w:u w:val="none"/>
            </w:rPr>
          </w:pPr>
          <w:r w:rsidRPr="008E6815">
            <w:rPr>
              <w:rStyle w:val="ab"/>
              <w:rFonts w:ascii="Times New Roman" w:hAnsi="Times New Roman" w:cs="Times New Roman"/>
              <w:noProof/>
              <w:color w:val="auto"/>
              <w:u w:val="none"/>
            </w:rPr>
            <w:t>24.6.За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средства………………………………………………………………………………………………..47</w:t>
          </w:r>
        </w:p>
        <w:p w:rsidR="004E655E" w:rsidRPr="008D63B8" w:rsidRDefault="00246C3B" w:rsidP="004E655E">
          <w:pPr>
            <w:pStyle w:val="11"/>
            <w:rPr>
              <w:rFonts w:eastAsiaTheme="minorEastAsia"/>
              <w:sz w:val="22"/>
              <w:szCs w:val="22"/>
              <w:lang w:eastAsia="bg-BG"/>
            </w:rPr>
          </w:pPr>
          <w:hyperlink w:anchor="_Toc505614668" w:history="1">
            <w:r w:rsidR="004E655E" w:rsidRPr="008D63B8">
              <w:rPr>
                <w:rStyle w:val="ab"/>
                <w:sz w:val="22"/>
                <w:szCs w:val="22"/>
              </w:rPr>
              <w:t>25. Краен срок за подаване на проектните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_Toc505614668 \h </w:instrText>
            </w:r>
            <w:r w:rsidR="004E655E" w:rsidRPr="008D63B8">
              <w:rPr>
                <w:webHidden/>
                <w:sz w:val="22"/>
                <w:szCs w:val="22"/>
              </w:rPr>
            </w:r>
            <w:r w:rsidR="004E655E" w:rsidRPr="008D63B8">
              <w:rPr>
                <w:webHidden/>
                <w:sz w:val="22"/>
                <w:szCs w:val="22"/>
              </w:rPr>
              <w:fldChar w:fldCharType="separate"/>
            </w:r>
            <w:r w:rsidR="00103847">
              <w:rPr>
                <w:webHidden/>
                <w:sz w:val="22"/>
                <w:szCs w:val="22"/>
              </w:rPr>
              <w:t>65</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69" w:history="1">
            <w:r w:rsidR="004E655E" w:rsidRPr="008D63B8">
              <w:rPr>
                <w:rStyle w:val="ab"/>
                <w:sz w:val="22"/>
                <w:szCs w:val="22"/>
              </w:rPr>
              <w:t>26. Адрес за подаване на проектните предложения/концепциите за проектни предложения: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_Toc505614669 \h </w:instrText>
            </w:r>
            <w:r w:rsidR="004E655E" w:rsidRPr="008D63B8">
              <w:rPr>
                <w:webHidden/>
                <w:sz w:val="22"/>
                <w:szCs w:val="22"/>
              </w:rPr>
            </w:r>
            <w:r w:rsidR="004E655E" w:rsidRPr="008D63B8">
              <w:rPr>
                <w:webHidden/>
                <w:sz w:val="22"/>
                <w:szCs w:val="22"/>
              </w:rPr>
              <w:fldChar w:fldCharType="separate"/>
            </w:r>
            <w:r w:rsidR="00103847">
              <w:rPr>
                <w:webHidden/>
                <w:sz w:val="22"/>
                <w:szCs w:val="22"/>
              </w:rPr>
              <w:t>66</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70" w:history="1">
            <w:r w:rsidR="004E655E" w:rsidRPr="008D63B8">
              <w:rPr>
                <w:rStyle w:val="ab"/>
                <w:sz w:val="22"/>
                <w:szCs w:val="22"/>
              </w:rPr>
              <w:t>27. Допълнителна информация:</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_Toc505614670 \h </w:instrText>
            </w:r>
            <w:r w:rsidR="004E655E" w:rsidRPr="008D63B8">
              <w:rPr>
                <w:webHidden/>
                <w:sz w:val="22"/>
                <w:szCs w:val="22"/>
              </w:rPr>
            </w:r>
            <w:r w:rsidR="004E655E" w:rsidRPr="008D63B8">
              <w:rPr>
                <w:webHidden/>
                <w:sz w:val="22"/>
                <w:szCs w:val="22"/>
              </w:rPr>
              <w:fldChar w:fldCharType="separate"/>
            </w:r>
            <w:r w:rsidR="00103847">
              <w:rPr>
                <w:webHidden/>
                <w:sz w:val="22"/>
                <w:szCs w:val="22"/>
              </w:rPr>
              <w:t>66</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71" w:history="1">
            <w:r w:rsidR="004E655E" w:rsidRPr="008D63B8">
              <w:rPr>
                <w:rStyle w:val="ab"/>
                <w:sz w:val="22"/>
                <w:szCs w:val="22"/>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_Toc505614671 \h </w:instrText>
            </w:r>
            <w:r w:rsidR="004E655E" w:rsidRPr="008D63B8">
              <w:rPr>
                <w:webHidden/>
                <w:sz w:val="22"/>
                <w:szCs w:val="22"/>
              </w:rPr>
            </w:r>
            <w:r w:rsidR="004E655E" w:rsidRPr="008D63B8">
              <w:rPr>
                <w:webHidden/>
                <w:sz w:val="22"/>
                <w:szCs w:val="22"/>
              </w:rPr>
              <w:fldChar w:fldCharType="separate"/>
            </w:r>
            <w:r w:rsidR="00103847">
              <w:rPr>
                <w:webHidden/>
                <w:sz w:val="22"/>
                <w:szCs w:val="22"/>
              </w:rPr>
              <w:t>66</w:t>
            </w:r>
            <w:r w:rsidR="004E655E" w:rsidRPr="008D63B8">
              <w:rPr>
                <w:webHidden/>
                <w:sz w:val="22"/>
                <w:szCs w:val="22"/>
              </w:rPr>
              <w:fldChar w:fldCharType="end"/>
            </w:r>
          </w:hyperlink>
        </w:p>
        <w:p w:rsidR="004E655E" w:rsidRPr="008D63B8" w:rsidRDefault="00246C3B" w:rsidP="004E655E">
          <w:pPr>
            <w:pStyle w:val="11"/>
            <w:rPr>
              <w:rFonts w:eastAsiaTheme="minorEastAsia"/>
              <w:sz w:val="22"/>
              <w:szCs w:val="22"/>
              <w:lang w:eastAsia="bg-BG"/>
            </w:rPr>
          </w:pPr>
          <w:hyperlink w:anchor="_Toc505614672" w:history="1">
            <w:r w:rsidR="004E655E" w:rsidRPr="008D63B8">
              <w:rPr>
                <w:rStyle w:val="ab"/>
                <w:sz w:val="22"/>
                <w:szCs w:val="22"/>
              </w:rPr>
              <w:t>28. Приложения към Условията за кандидатстване:</w:t>
            </w:r>
            <w:r w:rsidR="004E655E" w:rsidRPr="008D63B8">
              <w:rPr>
                <w:webHidden/>
                <w:sz w:val="22"/>
                <w:szCs w:val="22"/>
              </w:rPr>
              <w:tab/>
            </w:r>
            <w:r w:rsidR="004E655E" w:rsidRPr="008D63B8">
              <w:rPr>
                <w:webHidden/>
                <w:sz w:val="22"/>
                <w:szCs w:val="22"/>
              </w:rPr>
              <w:fldChar w:fldCharType="begin"/>
            </w:r>
            <w:r w:rsidR="004E655E" w:rsidRPr="008D63B8">
              <w:rPr>
                <w:webHidden/>
                <w:sz w:val="22"/>
                <w:szCs w:val="22"/>
              </w:rPr>
              <w:instrText xml:space="preserve"> PAGEREF _Toc505614672 \h </w:instrText>
            </w:r>
            <w:r w:rsidR="004E655E" w:rsidRPr="008D63B8">
              <w:rPr>
                <w:webHidden/>
                <w:sz w:val="22"/>
                <w:szCs w:val="22"/>
              </w:rPr>
            </w:r>
            <w:r w:rsidR="004E655E" w:rsidRPr="008D63B8">
              <w:rPr>
                <w:webHidden/>
                <w:sz w:val="22"/>
                <w:szCs w:val="22"/>
              </w:rPr>
              <w:fldChar w:fldCharType="separate"/>
            </w:r>
            <w:r w:rsidR="00103847">
              <w:rPr>
                <w:webHidden/>
                <w:sz w:val="22"/>
                <w:szCs w:val="22"/>
              </w:rPr>
              <w:t>67</w:t>
            </w:r>
            <w:r w:rsidR="004E655E" w:rsidRPr="008D63B8">
              <w:rPr>
                <w:webHidden/>
                <w:sz w:val="22"/>
                <w:szCs w:val="22"/>
              </w:rPr>
              <w:fldChar w:fldCharType="end"/>
            </w:r>
          </w:hyperlink>
        </w:p>
        <w:p w:rsidR="004E655E" w:rsidRPr="008D63B8" w:rsidRDefault="004E655E" w:rsidP="004E655E">
          <w:pPr>
            <w:rPr>
              <w:rFonts w:ascii="Times New Roman" w:hAnsi="Times New Roman" w:cs="Times New Roman"/>
            </w:rPr>
          </w:pPr>
          <w:r w:rsidRPr="008D63B8">
            <w:rPr>
              <w:rFonts w:ascii="Times New Roman" w:hAnsi="Times New Roman" w:cs="Times New Roman"/>
              <w:b/>
              <w:bCs/>
              <w:noProof/>
            </w:rPr>
            <w:fldChar w:fldCharType="end"/>
          </w:r>
        </w:p>
      </w:sdtContent>
    </w:sdt>
    <w:p w:rsidR="004E655E" w:rsidRDefault="004E655E" w:rsidP="004E655E">
      <w:pPr>
        <w:pStyle w:val="1"/>
        <w:spacing w:line="240" w:lineRule="auto"/>
        <w:rPr>
          <w:rFonts w:cs="Times New Roman"/>
          <w:sz w:val="22"/>
          <w:szCs w:val="22"/>
        </w:rPr>
      </w:pPr>
      <w:bookmarkStart w:id="0" w:name="_Toc505614636"/>
      <w:r w:rsidRPr="00CC3223">
        <w:rPr>
          <w:rFonts w:cs="Times New Roman"/>
          <w:sz w:val="22"/>
          <w:szCs w:val="22"/>
        </w:rPr>
        <w:lastRenderedPageBreak/>
        <w:t>СПИСЪК НА СЪКРАЩЕНИЯТА:</w:t>
      </w:r>
      <w:bookmarkEnd w:id="0"/>
    </w:p>
    <w:p w:rsidR="004E655E" w:rsidRPr="00623FED" w:rsidRDefault="004E655E" w:rsidP="004E655E"/>
    <w:tbl>
      <w:tblPr>
        <w:tblStyle w:val="2"/>
        <w:tblW w:w="0" w:type="auto"/>
        <w:tblLook w:val="04A0" w:firstRow="1" w:lastRow="0" w:firstColumn="1" w:lastColumn="0" w:noHBand="0" w:noVBand="1"/>
      </w:tblPr>
      <w:tblGrid>
        <w:gridCol w:w="2235"/>
        <w:gridCol w:w="6977"/>
      </w:tblGrid>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rPr>
              <w:t>БФП</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Безвъзмездна финансова помощ</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Pr>
                <w:rFonts w:ascii="Times New Roman" w:hAnsi="Times New Roman" w:cs="Times New Roman"/>
                <w:b/>
              </w:rPr>
              <w:t>ДДС</w:t>
            </w:r>
          </w:p>
        </w:tc>
        <w:tc>
          <w:tcPr>
            <w:tcW w:w="6977" w:type="dxa"/>
          </w:tcPr>
          <w:p w:rsidR="004E655E" w:rsidRPr="00CC3223" w:rsidRDefault="004E655E" w:rsidP="001163C1">
            <w:pPr>
              <w:jc w:val="both"/>
              <w:rPr>
                <w:rFonts w:ascii="Times New Roman" w:hAnsi="Times New Roman" w:cs="Times New Roman"/>
              </w:rPr>
            </w:pPr>
            <w:r>
              <w:rPr>
                <w:rFonts w:ascii="Times New Roman" w:hAnsi="Times New Roman" w:cs="Times New Roman"/>
              </w:rPr>
              <w:t>Данък върху добавената стойност</w:t>
            </w:r>
          </w:p>
        </w:tc>
      </w:tr>
      <w:tr w:rsidR="004E655E" w:rsidRPr="00CC3223" w:rsidTr="001163C1">
        <w:tc>
          <w:tcPr>
            <w:tcW w:w="2235" w:type="dxa"/>
          </w:tcPr>
          <w:p w:rsidR="004E655E" w:rsidRDefault="004E655E" w:rsidP="001163C1">
            <w:pPr>
              <w:jc w:val="both"/>
              <w:rPr>
                <w:rFonts w:ascii="Times New Roman" w:hAnsi="Times New Roman" w:cs="Times New Roman"/>
                <w:b/>
              </w:rPr>
            </w:pPr>
            <w:r>
              <w:rPr>
                <w:rFonts w:ascii="Times New Roman" w:hAnsi="Times New Roman" w:cs="Times New Roman"/>
                <w:b/>
              </w:rPr>
              <w:t>ДФЗ-РА</w:t>
            </w:r>
          </w:p>
        </w:tc>
        <w:tc>
          <w:tcPr>
            <w:tcW w:w="6977" w:type="dxa"/>
          </w:tcPr>
          <w:p w:rsidR="004E655E" w:rsidRDefault="004E655E" w:rsidP="001163C1">
            <w:pPr>
              <w:jc w:val="both"/>
              <w:rPr>
                <w:rFonts w:ascii="Times New Roman" w:hAnsi="Times New Roman" w:cs="Times New Roman"/>
              </w:rPr>
            </w:pPr>
            <w:r>
              <w:rPr>
                <w:rFonts w:ascii="Times New Roman" w:hAnsi="Times New Roman" w:cs="Times New Roman"/>
              </w:rPr>
              <w:t>Държавен фонд „Земеделие“ – Разплащателна агенция</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rPr>
              <w:t>ЕС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shd w:val="clear" w:color="auto" w:fill="FEFEFE"/>
              </w:rPr>
              <w:t>Европейски съюз</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ЕСИФ</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Европейски структурни и инвестиционни фондове</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ЕЗФРСР</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Европейски земеделски фонд за развитие на селските райони</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ЗДДС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данък добавена стойност</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ЗЕЕ</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енергийната ефективност</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Pr>
                <w:rFonts w:ascii="Times New Roman" w:hAnsi="Times New Roman" w:cs="Times New Roman"/>
                <w:b/>
                <w:color w:val="000000"/>
              </w:rPr>
              <w:t>ЗЕУ</w:t>
            </w:r>
          </w:p>
        </w:tc>
        <w:tc>
          <w:tcPr>
            <w:tcW w:w="6977" w:type="dxa"/>
          </w:tcPr>
          <w:p w:rsidR="004E655E" w:rsidRPr="00CC3223" w:rsidRDefault="004E655E" w:rsidP="001163C1">
            <w:pPr>
              <w:jc w:val="both"/>
              <w:rPr>
                <w:rFonts w:ascii="Times New Roman" w:hAnsi="Times New Roman" w:cs="Times New Roman"/>
              </w:rPr>
            </w:pPr>
            <w:r>
              <w:rPr>
                <w:rFonts w:ascii="Times New Roman" w:hAnsi="Times New Roman" w:cs="Times New Roman"/>
              </w:rPr>
              <w:t>Закон за електронното управление</w:t>
            </w:r>
          </w:p>
        </w:tc>
      </w:tr>
      <w:tr w:rsidR="004E655E" w:rsidRPr="00CC3223" w:rsidTr="001163C1">
        <w:tc>
          <w:tcPr>
            <w:tcW w:w="2235" w:type="dxa"/>
          </w:tcPr>
          <w:p w:rsidR="004E655E" w:rsidRDefault="004E655E" w:rsidP="001163C1">
            <w:pPr>
              <w:jc w:val="both"/>
              <w:rPr>
                <w:rFonts w:ascii="Times New Roman" w:hAnsi="Times New Roman" w:cs="Times New Roman"/>
                <w:b/>
                <w:color w:val="000000"/>
              </w:rPr>
            </w:pPr>
            <w:r>
              <w:rPr>
                <w:rFonts w:ascii="Times New Roman" w:hAnsi="Times New Roman" w:cs="Times New Roman"/>
                <w:b/>
                <w:color w:val="000000"/>
              </w:rPr>
              <w:t>ЗКН</w:t>
            </w:r>
          </w:p>
        </w:tc>
        <w:tc>
          <w:tcPr>
            <w:tcW w:w="6977" w:type="dxa"/>
          </w:tcPr>
          <w:p w:rsidR="004E655E" w:rsidRDefault="004E655E" w:rsidP="001163C1">
            <w:pPr>
              <w:jc w:val="both"/>
              <w:rPr>
                <w:rFonts w:ascii="Times New Roman" w:hAnsi="Times New Roman" w:cs="Times New Roman"/>
              </w:rPr>
            </w:pPr>
            <w:r>
              <w:rPr>
                <w:rFonts w:ascii="Times New Roman" w:hAnsi="Times New Roman" w:cs="Times New Roman"/>
              </w:rPr>
              <w:t>Закон за културното наследство</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ЗОП</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обществените поръчки</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ЗООС</w:t>
            </w:r>
          </w:p>
        </w:tc>
        <w:tc>
          <w:tcPr>
            <w:tcW w:w="6977" w:type="dxa"/>
          </w:tcPr>
          <w:p w:rsidR="004E655E" w:rsidRPr="00CC3223" w:rsidRDefault="004E655E" w:rsidP="001163C1">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опазване на околната среда</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ЗПЗП</w:t>
            </w:r>
          </w:p>
        </w:tc>
        <w:tc>
          <w:tcPr>
            <w:tcW w:w="6977" w:type="dxa"/>
          </w:tcPr>
          <w:p w:rsidR="004E655E" w:rsidRPr="00CC3223" w:rsidRDefault="004E655E" w:rsidP="001163C1">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подпомагане на земеделските производители</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ЗУСЕСИФ</w:t>
            </w:r>
          </w:p>
        </w:tc>
        <w:tc>
          <w:tcPr>
            <w:tcW w:w="6977" w:type="dxa"/>
          </w:tcPr>
          <w:p w:rsidR="004E655E" w:rsidRPr="00CC3223" w:rsidRDefault="004E655E" w:rsidP="001163C1">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ЗУТ</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Закон за устройство на територията</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ИСУН</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CC3223">
              <w:rPr>
                <w:rFonts w:ascii="Times New Roman" w:hAnsi="Times New Roman" w:cs="Times New Roman"/>
              </w:rPr>
              <w:t xml:space="preserve"> </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lastRenderedPageBreak/>
              <w:t xml:space="preserve">КЕП </w:t>
            </w:r>
          </w:p>
        </w:tc>
        <w:tc>
          <w:tcPr>
            <w:tcW w:w="6977" w:type="dxa"/>
          </w:tcPr>
          <w:p w:rsidR="004E655E" w:rsidRPr="00CC3223" w:rsidRDefault="004E655E" w:rsidP="001163C1">
            <w:pPr>
              <w:jc w:val="both"/>
              <w:rPr>
                <w:rFonts w:ascii="Times New Roman" w:hAnsi="Times New Roman" w:cs="Times New Roman"/>
                <w:shd w:val="clear" w:color="auto" w:fill="FEFEFE"/>
              </w:rPr>
            </w:pPr>
            <w:r w:rsidRPr="00CC3223">
              <w:rPr>
                <w:rFonts w:ascii="Times New Roman" w:eastAsia="Times New Roman" w:hAnsi="Times New Roman" w:cs="Times New Roman"/>
                <w:shd w:val="clear" w:color="auto" w:fill="FEFEFE"/>
                <w:lang w:eastAsia="bg-BG"/>
              </w:rPr>
              <w:t>Квалифициран електронен подпис</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КСС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 xml:space="preserve">Количествено-стойностни </w:t>
            </w: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МЗХГ</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Министерство на земеделието, храните и горите</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rPr>
            </w:pPr>
            <w:r w:rsidRPr="00CC3223">
              <w:rPr>
                <w:rFonts w:ascii="Times New Roman" w:hAnsi="Times New Roman" w:cs="Times New Roman"/>
                <w:b/>
                <w:color w:val="000000"/>
              </w:rPr>
              <w:t>ОВ</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Официален вестник на ЕС</w:t>
            </w:r>
          </w:p>
          <w:p w:rsidR="004E655E" w:rsidRPr="00CC3223" w:rsidRDefault="004E655E" w:rsidP="001163C1">
            <w:pPr>
              <w:jc w:val="both"/>
              <w:rPr>
                <w:rFonts w:ascii="Times New Roman" w:hAnsi="Times New Roman" w:cs="Times New Roman"/>
              </w:rPr>
            </w:pP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ПРСР 2014 – 2020 г.</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Програма за развитие на селските райони за периода 2014 – 2020 г.</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ПМС</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Постановление на Министерски съвет</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РУО</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Ръководител на управляващият орган</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СМР</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Строително-монтажни работи</w:t>
            </w:r>
          </w:p>
        </w:tc>
      </w:tr>
      <w:tr w:rsidR="004E655E" w:rsidRPr="00CC3223" w:rsidTr="001163C1">
        <w:tc>
          <w:tcPr>
            <w:tcW w:w="2235" w:type="dxa"/>
          </w:tcPr>
          <w:p w:rsidR="004E655E" w:rsidRPr="00CC3223" w:rsidRDefault="004E655E" w:rsidP="001163C1">
            <w:pPr>
              <w:jc w:val="both"/>
              <w:rPr>
                <w:rFonts w:ascii="Times New Roman" w:hAnsi="Times New Roman" w:cs="Times New Roman"/>
                <w:b/>
                <w:color w:val="000000"/>
              </w:rPr>
            </w:pPr>
            <w:r w:rsidRPr="00CC3223">
              <w:rPr>
                <w:rFonts w:ascii="Times New Roman" w:hAnsi="Times New Roman" w:cs="Times New Roman"/>
                <w:b/>
                <w:color w:val="000000"/>
              </w:rPr>
              <w:t>УО</w:t>
            </w:r>
          </w:p>
        </w:tc>
        <w:tc>
          <w:tcPr>
            <w:tcW w:w="6977" w:type="dxa"/>
          </w:tcPr>
          <w:p w:rsidR="004E655E" w:rsidRPr="00CC3223" w:rsidRDefault="004E655E" w:rsidP="001163C1">
            <w:pPr>
              <w:jc w:val="both"/>
              <w:rPr>
                <w:rFonts w:ascii="Times New Roman" w:hAnsi="Times New Roman" w:cs="Times New Roman"/>
              </w:rPr>
            </w:pPr>
            <w:r w:rsidRPr="00CC3223">
              <w:rPr>
                <w:rFonts w:ascii="Times New Roman" w:hAnsi="Times New Roman" w:cs="Times New Roman"/>
              </w:rPr>
              <w:t>Управляващ орган</w:t>
            </w:r>
          </w:p>
        </w:tc>
      </w:tr>
    </w:tbl>
    <w:p w:rsidR="004E655E" w:rsidRDefault="004E655E" w:rsidP="004E655E"/>
    <w:p w:rsidR="004E655E" w:rsidRDefault="004E655E" w:rsidP="004E655E"/>
    <w:p w:rsidR="004E655E" w:rsidRPr="00952BDE" w:rsidRDefault="004E655E" w:rsidP="004E655E">
      <w:pPr>
        <w:pStyle w:val="1"/>
        <w:spacing w:line="240" w:lineRule="auto"/>
        <w:rPr>
          <w:rFonts w:cs="Times New Roman"/>
          <w:szCs w:val="24"/>
        </w:rPr>
      </w:pPr>
      <w:bookmarkStart w:id="1" w:name="_Toc505614637"/>
      <w:r w:rsidRPr="00952BDE">
        <w:rPr>
          <w:rFonts w:cs="Times New Roman"/>
          <w:szCs w:val="24"/>
        </w:rPr>
        <w:t>ОБЯСНИТЕЛНИ БЕЛЕЖКИ:</w:t>
      </w:r>
      <w:bookmarkEnd w:id="1"/>
    </w:p>
    <w:p w:rsidR="004E655E" w:rsidRPr="00952BDE" w:rsidRDefault="004E655E" w:rsidP="004E655E"/>
    <w:tbl>
      <w:tblPr>
        <w:tblStyle w:val="12"/>
        <w:tblW w:w="9606" w:type="dxa"/>
        <w:tblLook w:val="04A0" w:firstRow="1" w:lastRow="0" w:firstColumn="1" w:lastColumn="0" w:noHBand="0" w:noVBand="1"/>
      </w:tblPr>
      <w:tblGrid>
        <w:gridCol w:w="2235"/>
        <w:gridCol w:w="7371"/>
      </w:tblGrid>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Авансово плащане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Плащане по смисъла на </w:t>
            </w:r>
            <w:hyperlink r:id="rId8" w:history="1">
              <w:r w:rsidRPr="00952BDE">
                <w:rPr>
                  <w:rFonts w:ascii="Times New Roman" w:hAnsi="Times New Roman" w:cs="Times New Roman"/>
                  <w:color w:val="000000"/>
                  <w:sz w:val="24"/>
                  <w:szCs w:val="24"/>
                </w:rPr>
                <w:t>чл. 63 от Регламент (ЕС) № 1305/2013</w:t>
              </w:r>
            </w:hyperlink>
            <w:r w:rsidRPr="00952BDE">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952BDE">
                <w:rPr>
                  <w:rFonts w:ascii="Times New Roman" w:hAnsi="Times New Roman" w:cs="Times New Roman"/>
                  <w:color w:val="000000"/>
                  <w:sz w:val="24"/>
                  <w:szCs w:val="24"/>
                </w:rPr>
                <w:t>Регламент (ЕО) № 1698/2005</w:t>
              </w:r>
            </w:hyperlink>
            <w:r w:rsidRPr="00952BDE">
              <w:rPr>
                <w:rFonts w:ascii="Times New Roman" w:hAnsi="Times New Roman" w:cs="Times New Roman"/>
                <w:sz w:val="24"/>
                <w:szCs w:val="24"/>
              </w:rPr>
              <w:t xml:space="preserve"> на Съвета (ОВ, L 347/487 от 20 декември 2013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sz w:val="24"/>
                <w:szCs w:val="24"/>
                <w:shd w:val="clear" w:color="auto" w:fill="FEFEFE"/>
              </w:rPr>
              <w:t>Административен договор</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shd w:val="clear" w:color="auto" w:fill="FEFEFE"/>
              </w:rPr>
              <w:t xml:space="preserve">Договор по смисъла на § 1, т. 1 от допълнителните разпоредби на </w:t>
            </w:r>
            <w:r w:rsidRPr="00952BDE">
              <w:rPr>
                <w:rFonts w:ascii="Times New Roman" w:hAnsi="Times New Roman" w:cs="Times New Roman"/>
                <w:sz w:val="24"/>
                <w:szCs w:val="24"/>
                <w:shd w:val="clear" w:color="auto" w:fill="FEFEFE"/>
                <w:lang w:eastAsia="bg-BG"/>
              </w:rPr>
              <w:t>Закона за управление на средствата от европейските структурни и инвестиционни фондове</w:t>
            </w:r>
            <w:r w:rsidRPr="00952BDE">
              <w:rPr>
                <w:rFonts w:ascii="Times New Roman" w:hAnsi="Times New Roman" w:cs="Times New Roman"/>
                <w:sz w:val="24"/>
                <w:szCs w:val="24"/>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Административни проверки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Проверки съгласно условията и разпоредбите на </w:t>
            </w:r>
            <w:hyperlink r:id="rId10" w:history="1">
              <w:r w:rsidRPr="00952BDE">
                <w:rPr>
                  <w:rFonts w:ascii="Times New Roman" w:hAnsi="Times New Roman" w:cs="Times New Roman"/>
                  <w:color w:val="000000"/>
                  <w:sz w:val="24"/>
                  <w:szCs w:val="24"/>
                </w:rPr>
                <w:t>чл. 48 от Регламент за изпълнение (ЕС) № 809/2014</w:t>
              </w:r>
              <w:r w:rsidRPr="00952BDE">
                <w:rPr>
                  <w:rFonts w:ascii="Times New Roman" w:hAnsi="Times New Roman" w:cs="Times New Roman"/>
                  <w:sz w:val="24"/>
                  <w:szCs w:val="24"/>
                </w:rPr>
                <w:t xml:space="preserve"> на Комисията от 17 юли 2014 г. за определяне на правила за прилагането на </w:t>
              </w:r>
              <w:hyperlink r:id="rId11" w:history="1">
                <w:r w:rsidRPr="00952BDE">
                  <w:rPr>
                    <w:rFonts w:ascii="Times New Roman" w:hAnsi="Times New Roman" w:cs="Times New Roman"/>
                    <w:color w:val="000000"/>
                    <w:sz w:val="24"/>
                    <w:szCs w:val="24"/>
                  </w:rPr>
                  <w:t>Регламент (ЕС) № 1306/2013</w:t>
                </w:r>
              </w:hyperlink>
              <w:r w:rsidRPr="00952BDE">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952BDE">
                <w:rPr>
                  <w:rFonts w:ascii="Times New Roman" w:hAnsi="Times New Roman" w:cs="Times New Roman"/>
                  <w:color w:val="000000"/>
                  <w:sz w:val="24"/>
                  <w:szCs w:val="24"/>
                </w:rPr>
                <w:t>.</w:t>
              </w:r>
            </w:hyperlink>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Дейност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t>Закрита спортна инфраструктура в общинска образователна инфраструктура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Закрита спортна инфраструктура е зала за спорт (физкултурен салон). </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Изкуствено създадени условия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Всяко установено от Държавен фонд „Земеделие“ - Разплащателна агенция (ДФЗ-РА) или друг компетентен орган условие по смисъла на </w:t>
            </w:r>
            <w:hyperlink r:id="rId12" w:history="1">
              <w:r w:rsidRPr="00952BDE">
                <w:rPr>
                  <w:rFonts w:ascii="Times New Roman" w:hAnsi="Times New Roman" w:cs="Times New Roman"/>
                  <w:color w:val="000000"/>
                  <w:sz w:val="24"/>
                  <w:szCs w:val="24"/>
                </w:rPr>
                <w:t>чл. 60 от Регламент (ЕС) № 1306/2013</w:t>
              </w:r>
            </w:hyperlink>
            <w:r w:rsidRPr="00952BDE">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Инвестиционен проект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Проект по смисъла на </w:t>
            </w:r>
            <w:hyperlink r:id="rId13" w:history="1">
              <w:r w:rsidRPr="00952BDE">
                <w:rPr>
                  <w:rFonts w:ascii="Times New Roman" w:hAnsi="Times New Roman" w:cs="Times New Roman"/>
                  <w:color w:val="000000"/>
                  <w:sz w:val="24"/>
                  <w:szCs w:val="24"/>
                </w:rPr>
                <w:t>Закона за устройство на територията</w:t>
              </w:r>
            </w:hyperlink>
            <w:r w:rsidRPr="00952BDE">
              <w:rPr>
                <w:rFonts w:ascii="Times New Roman" w:hAnsi="Times New Roman" w:cs="Times New Roman"/>
                <w:sz w:val="24"/>
                <w:szCs w:val="24"/>
              </w:rPr>
              <w:t xml:space="preserve"> и </w:t>
            </w:r>
            <w:hyperlink r:id="rId14" w:history="1">
              <w:r w:rsidRPr="00952BDE">
                <w:rPr>
                  <w:rFonts w:ascii="Times New Roman" w:hAnsi="Times New Roman" w:cs="Times New Roman"/>
                  <w:color w:val="000000"/>
                  <w:sz w:val="24"/>
                  <w:szCs w:val="24"/>
                </w:rPr>
                <w:t>Наредба № 4 за обхвата и съдържанието на инвестиционните проекти</w:t>
              </w:r>
            </w:hyperlink>
            <w:r w:rsidRPr="00952BDE">
              <w:rPr>
                <w:rFonts w:ascii="Times New Roman" w:hAnsi="Times New Roman" w:cs="Times New Roman"/>
                <w:sz w:val="24"/>
                <w:szCs w:val="24"/>
              </w:rPr>
              <w:t xml:space="preserve"> (ДВ, бр. 51 от 2001 г.), предназначен за строителството на обекта/ите, включени в проекта.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Междинно плащане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Плащане за обособена част от одобрената и извършена инвестиция.</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Независими оферти</w:t>
            </w:r>
          </w:p>
        </w:tc>
        <w:tc>
          <w:tcPr>
            <w:tcW w:w="7371" w:type="dxa"/>
          </w:tcPr>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б) съдружници;</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lastRenderedPageBreak/>
              <w:t>в) съвместно контролират пряко трето лице;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rsidR="004E655E" w:rsidRPr="00952BDE" w:rsidRDefault="004E655E" w:rsidP="001163C1">
            <w:pPr>
              <w:jc w:val="both"/>
              <w:rPr>
                <w:rFonts w:ascii="Times New Roman" w:hAnsi="Times New Roman" w:cs="Times New Roman"/>
                <w:sz w:val="24"/>
                <w:szCs w:val="24"/>
              </w:rPr>
            </w:pPr>
            <w:r w:rsidRPr="00952BDE">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Непредвидени разходи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5" w:history="1">
              <w:r w:rsidRPr="00952BDE">
                <w:rPr>
                  <w:rFonts w:ascii="Times New Roman" w:hAnsi="Times New Roman" w:cs="Times New Roman"/>
                  <w:color w:val="000000"/>
                  <w:sz w:val="24"/>
                  <w:szCs w:val="24"/>
                </w:rPr>
                <w:t>чл. 5</w:t>
              </w:r>
            </w:hyperlink>
            <w:r w:rsidRPr="00952BDE">
              <w:rPr>
                <w:rFonts w:ascii="Times New Roman" w:hAnsi="Times New Roman" w:cs="Times New Roman"/>
                <w:sz w:val="24"/>
                <w:szCs w:val="24"/>
              </w:rPr>
              <w:t xml:space="preserve"> и </w:t>
            </w:r>
            <w:hyperlink r:id="rId16" w:history="1">
              <w:r w:rsidRPr="00952BDE">
                <w:rPr>
                  <w:rFonts w:ascii="Times New Roman" w:hAnsi="Times New Roman" w:cs="Times New Roman"/>
                  <w:color w:val="000000"/>
                  <w:sz w:val="24"/>
                  <w:szCs w:val="24"/>
                </w:rPr>
                <w:t>6 от Закона за обществените поръчки</w:t>
              </w:r>
            </w:hyperlink>
            <w:r w:rsidRPr="00952BDE">
              <w:rPr>
                <w:rFonts w:ascii="Times New Roman" w:hAnsi="Times New Roman" w:cs="Times New Roman"/>
                <w:sz w:val="24"/>
                <w:szCs w:val="24"/>
              </w:rPr>
              <w:t xml:space="preserve">, новите строително-монтажни работи следва да бъдат възлагани по реда на </w:t>
            </w:r>
            <w:hyperlink r:id="rId17" w:history="1">
              <w:r w:rsidRPr="00952BDE">
                <w:rPr>
                  <w:rFonts w:ascii="Times New Roman" w:hAnsi="Times New Roman" w:cs="Times New Roman"/>
                  <w:color w:val="000000"/>
                  <w:sz w:val="24"/>
                  <w:szCs w:val="24"/>
                </w:rPr>
                <w:t>Закона за обществените поръчки</w:t>
              </w:r>
            </w:hyperlink>
            <w:r w:rsidRPr="00952BDE">
              <w:rPr>
                <w:rFonts w:ascii="Times New Roman" w:hAnsi="Times New Roman" w:cs="Times New Roman"/>
                <w:sz w:val="24"/>
                <w:szCs w:val="24"/>
              </w:rPr>
              <w:t xml:space="preserve"> в случаите, когато не са допуснати изключения.</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Непреодолима сила или извънредни обстоятелства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Обстоятелства по смисъла на </w:t>
            </w:r>
            <w:hyperlink r:id="rId18" w:history="1">
              <w:r w:rsidRPr="00952BDE">
                <w:rPr>
                  <w:rFonts w:ascii="Times New Roman" w:hAnsi="Times New Roman" w:cs="Times New Roman"/>
                  <w:color w:val="000000"/>
                  <w:sz w:val="24"/>
                  <w:szCs w:val="24"/>
                </w:rPr>
                <w:t>чл. 2, параграф 2 от Регламент (ЕС) № 1306/2013 г.</w:t>
              </w:r>
            </w:hyperlink>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Нередност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Оперативни разходи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Административните разходи и разходите, свързани с поддръжка, наеми, застраховка, текущ ремонт с поддръжка и експлоатация на </w:t>
            </w:r>
            <w:r w:rsidRPr="00952BDE">
              <w:rPr>
                <w:rFonts w:ascii="Times New Roman" w:hAnsi="Times New Roman" w:cs="Times New Roman"/>
                <w:sz w:val="24"/>
                <w:szCs w:val="24"/>
              </w:rPr>
              <w:lastRenderedPageBreak/>
              <w:t>активите.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Обект общинска образователна инфраструктура с местно значение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Детска градина, финансирана чрез бюджета на общината, или основно или средно училище, финансирани чрез бюджета на общината или професионални гимназии по § 10 от Преходните и заключителни разпоредби на Закона за предучилищното и училищно образование.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Обикновена подмяна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Обособена част от инвестицията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Завършен етап на изпълнение на инвестицията, който е обособен и е доведен до самостоятелна степен на завършеност.</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Обществени услуги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Общински сгради</w:t>
            </w:r>
          </w:p>
        </w:tc>
        <w:tc>
          <w:tcPr>
            <w:tcW w:w="7371" w:type="dxa"/>
          </w:tcPr>
          <w:p w:rsidR="004E655E" w:rsidRPr="00952BDE" w:rsidRDefault="004E655E" w:rsidP="001163C1">
            <w:pPr>
              <w:rPr>
                <w:rFonts w:ascii="Times New Roman" w:hAnsi="Times New Roman" w:cs="Times New Roman"/>
                <w:sz w:val="24"/>
                <w:szCs w:val="24"/>
              </w:rPr>
            </w:pPr>
            <w:r w:rsidRPr="00952BDE">
              <w:rPr>
                <w:rFonts w:ascii="Times New Roman" w:hAnsi="Times New Roman" w:cs="Times New Roman"/>
                <w:sz w:val="24"/>
                <w:szCs w:val="24"/>
              </w:rPr>
              <w:t xml:space="preserve">Имотите съгласно </w:t>
            </w:r>
            <w:hyperlink r:id="rId19" w:history="1">
              <w:r w:rsidRPr="00952BDE">
                <w:rPr>
                  <w:rFonts w:ascii="Times New Roman" w:hAnsi="Times New Roman" w:cs="Times New Roman"/>
                  <w:color w:val="000000"/>
                  <w:sz w:val="24"/>
                  <w:szCs w:val="24"/>
                </w:rPr>
                <w:t>чл. 2, ал. 1 от Закона за общинската собственост</w:t>
              </w:r>
            </w:hyperlink>
            <w:r w:rsidRPr="00952BDE">
              <w:rPr>
                <w:rFonts w:ascii="Times New Roman" w:hAnsi="Times New Roman" w:cs="Times New Roman"/>
                <w:sz w:val="24"/>
                <w:szCs w:val="24"/>
              </w:rPr>
              <w:t>.</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Подмярка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Съвкупност от дейности, спомагащи за прилагане приоритетите на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Площи за широко обществено ползване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Паркове, градини, улично озеленяване и площади.</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Площадка за игра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Принос в натура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lastRenderedPageBreak/>
              <w:t>Проверка на място</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Проверка по смисъла на </w:t>
            </w:r>
            <w:hyperlink r:id="rId20" w:history="1">
              <w:r w:rsidRPr="00952BDE">
                <w:rPr>
                  <w:rFonts w:ascii="Times New Roman" w:hAnsi="Times New Roman" w:cs="Times New Roman"/>
                  <w:color w:val="000000"/>
                  <w:sz w:val="24"/>
                  <w:szCs w:val="24"/>
                </w:rPr>
                <w:t>Регламент (ЕС) № 809/2014</w:t>
              </w:r>
            </w:hyperlink>
            <w:r w:rsidRPr="00952BDE">
              <w:rPr>
                <w:rFonts w:ascii="Times New Roman" w:hAnsi="Times New Roman" w:cs="Times New Roman"/>
                <w:sz w:val="24"/>
                <w:szCs w:val="24"/>
              </w:rPr>
              <w:t>.</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Проект</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Публична финансова помощ</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952BDE">
              <w:rPr>
                <w:rFonts w:ascii="Times New Roman" w:hAnsi="Times New Roman" w:cs="Times New Roman"/>
                <w:sz w:val="24"/>
                <w:szCs w:val="24"/>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Реставрация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Референтен разход</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sz w:val="24"/>
                <w:szCs w:val="24"/>
              </w:rPr>
              <w:t>Спортна инфраструктура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Обществено достъпни </w:t>
            </w:r>
            <w:r w:rsidRPr="00CD521F">
              <w:rPr>
                <w:rFonts w:ascii="Times New Roman" w:hAnsi="Times New Roman" w:cs="Times New Roman"/>
                <w:b/>
                <w:sz w:val="24"/>
                <w:szCs w:val="24"/>
              </w:rPr>
              <w:t>открити</w:t>
            </w:r>
            <w:r w:rsidRPr="00952BDE">
              <w:rPr>
                <w:rFonts w:ascii="Times New Roman" w:hAnsi="Times New Roman" w:cs="Times New Roman"/>
                <w:sz w:val="24"/>
                <w:szCs w:val="24"/>
              </w:rPr>
              <w:t xml:space="preserve"> площи, </w:t>
            </w:r>
            <w:r w:rsidRPr="00952BDE">
              <w:rPr>
                <w:rFonts w:ascii="Times New Roman" w:hAnsi="Times New Roman" w:cs="Times New Roman"/>
                <w:color w:val="000000"/>
                <w:sz w:val="24"/>
                <w:szCs w:val="24"/>
                <w:lang w:eastAsia="bg-BG"/>
              </w:rPr>
              <w:t xml:space="preserve">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един обект: футболно игрище на малко поле, </w:t>
            </w:r>
            <w:r w:rsidRPr="00952BDE">
              <w:rPr>
                <w:rFonts w:ascii="Times New Roman" w:hAnsi="Times New Roman" w:cs="Times New Roman"/>
                <w:sz w:val="24"/>
                <w:szCs w:val="24"/>
              </w:rPr>
              <w:t>волейболно, баскетболно, хандбално игрище, площадка за скейтборд и ролери и площадка за игра.</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lastRenderedPageBreak/>
              <w:t>Съпоставими оферти</w:t>
            </w:r>
          </w:p>
        </w:tc>
        <w:tc>
          <w:tcPr>
            <w:tcW w:w="7371" w:type="dxa"/>
          </w:tcPr>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 xml:space="preserve">Оферти, които отговарят на запитването за оферта на кандидата и съдържат: </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б) количествено-стойностни сметки – в случаите, когато се кандидатства за разходи за извършване на строително-монтажни работи.</w:t>
            </w:r>
          </w:p>
          <w:p w:rsidR="004E655E" w:rsidRPr="00952BDE" w:rsidRDefault="004E655E" w:rsidP="001163C1">
            <w:pPr>
              <w:jc w:val="both"/>
              <w:rPr>
                <w:rFonts w:ascii="Times New Roman" w:hAnsi="Times New Roman" w:cs="Times New Roman"/>
                <w:sz w:val="24"/>
                <w:szCs w:val="24"/>
              </w:rPr>
            </w:pP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t>Текущ ремонт</w:t>
            </w:r>
          </w:p>
        </w:tc>
        <w:tc>
          <w:tcPr>
            <w:tcW w:w="7371" w:type="dxa"/>
          </w:tcPr>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а) засяга конструкцията на сградата;</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4E655E" w:rsidRPr="00952BDE" w:rsidRDefault="004E655E" w:rsidP="001163C1">
            <w:pPr>
              <w:jc w:val="both"/>
              <w:rPr>
                <w:rFonts w:ascii="Times New Roman" w:eastAsia="Times New Roman" w:hAnsi="Times New Roman" w:cs="Times New Roman"/>
                <w:color w:val="000000"/>
                <w:sz w:val="24"/>
                <w:szCs w:val="24"/>
                <w:lang w:eastAsia="bg-BG"/>
              </w:rPr>
            </w:pPr>
            <w:r w:rsidRPr="00952BDE">
              <w:rPr>
                <w:rFonts w:ascii="Times New Roman" w:eastAsia="Times New Roman" w:hAnsi="Times New Roman" w:cs="Times New Roman"/>
                <w:color w:val="000000"/>
                <w:sz w:val="24"/>
                <w:szCs w:val="24"/>
                <w:lang w:eastAsia="bg-BG"/>
              </w:rPr>
              <w:t>в) променя предназначението на помещенията и натоварванията в тях.</w:t>
            </w:r>
          </w:p>
          <w:p w:rsidR="004E655E" w:rsidRPr="00952BDE" w:rsidRDefault="004E655E" w:rsidP="001163C1">
            <w:pPr>
              <w:jc w:val="both"/>
              <w:rPr>
                <w:rFonts w:ascii="Times New Roman" w:hAnsi="Times New Roman" w:cs="Times New Roman"/>
                <w:sz w:val="24"/>
                <w:szCs w:val="24"/>
              </w:rPr>
            </w:pP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Терен</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Техническа спецификация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Тротоар</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t>Улица</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 xml:space="preserve">Част от комуникационно-транспортната система на урбанизираните територии, която обхваща уличната мрежа съгласно </w:t>
            </w:r>
            <w:hyperlink r:id="rId21" w:history="1">
              <w:r w:rsidRPr="00952BDE">
                <w:rPr>
                  <w:rFonts w:ascii="Times New Roman" w:hAnsi="Times New Roman" w:cs="Times New Roman"/>
                  <w:color w:val="000000"/>
                  <w:sz w:val="24"/>
                  <w:szCs w:val="24"/>
                </w:rPr>
                <w:t xml:space="preserve">Наредба № 2 от </w:t>
              </w:r>
              <w:r w:rsidRPr="00952BDE">
                <w:rPr>
                  <w:rFonts w:ascii="Times New Roman" w:hAnsi="Times New Roman" w:cs="Times New Roman"/>
                  <w:color w:val="000000"/>
                  <w:sz w:val="24"/>
                  <w:szCs w:val="24"/>
                </w:rPr>
                <w:lastRenderedPageBreak/>
                <w:t>2004 г. за планиране и проектиране на комуникационно-транспортните системи на урбанизираните територии</w:t>
              </w:r>
            </w:hyperlink>
            <w:r w:rsidRPr="00952BDE">
              <w:rPr>
                <w:rFonts w:ascii="Times New Roman" w:hAnsi="Times New Roman" w:cs="Times New Roman"/>
                <w:sz w:val="24"/>
                <w:szCs w:val="24"/>
              </w:rPr>
              <w:t xml:space="preserve"> (ДВ, бр. 89 от 2004 г.).</w:t>
            </w:r>
          </w:p>
        </w:tc>
      </w:tr>
      <w:tr w:rsidR="004E655E" w:rsidRPr="00952BDE" w:rsidTr="001163C1">
        <w:tc>
          <w:tcPr>
            <w:tcW w:w="2235" w:type="dxa"/>
          </w:tcPr>
          <w:p w:rsidR="004E655E" w:rsidRPr="00952BDE" w:rsidRDefault="004E655E" w:rsidP="001163C1">
            <w:pPr>
              <w:jc w:val="both"/>
              <w:rPr>
                <w:rFonts w:ascii="Times New Roman" w:hAnsi="Times New Roman" w:cs="Times New Roman"/>
                <w:b/>
                <w:color w:val="000000"/>
                <w:sz w:val="24"/>
                <w:szCs w:val="24"/>
              </w:rPr>
            </w:pPr>
            <w:r w:rsidRPr="00952BDE">
              <w:rPr>
                <w:rFonts w:ascii="Times New Roman" w:hAnsi="Times New Roman" w:cs="Times New Roman"/>
                <w:b/>
                <w:color w:val="000000"/>
                <w:sz w:val="24"/>
                <w:szCs w:val="24"/>
              </w:rPr>
              <w:lastRenderedPageBreak/>
              <w:t>Улични принадлежности</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събиране на отпадъци и камери за видеонаблюдение.</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Улични съоръжения</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4E655E" w:rsidRPr="00952BDE" w:rsidTr="001163C1">
        <w:tc>
          <w:tcPr>
            <w:tcW w:w="2235" w:type="dxa"/>
          </w:tcPr>
          <w:p w:rsidR="004E655E" w:rsidRPr="00952BDE" w:rsidRDefault="004E655E" w:rsidP="001163C1">
            <w:pPr>
              <w:jc w:val="both"/>
              <w:rPr>
                <w:rFonts w:ascii="Times New Roman" w:hAnsi="Times New Roman" w:cs="Times New Roman"/>
                <w:b/>
                <w:sz w:val="24"/>
                <w:szCs w:val="24"/>
              </w:rPr>
            </w:pPr>
            <w:r w:rsidRPr="00952BDE">
              <w:rPr>
                <w:rFonts w:ascii="Times New Roman" w:hAnsi="Times New Roman" w:cs="Times New Roman"/>
                <w:b/>
                <w:color w:val="000000"/>
                <w:sz w:val="24"/>
                <w:szCs w:val="24"/>
              </w:rPr>
              <w:t>Частичен отказ за финансиране</w:t>
            </w:r>
          </w:p>
        </w:tc>
        <w:tc>
          <w:tcPr>
            <w:tcW w:w="7371" w:type="dxa"/>
          </w:tcPr>
          <w:p w:rsidR="004E655E" w:rsidRPr="00952BDE" w:rsidRDefault="004E655E" w:rsidP="001163C1">
            <w:pPr>
              <w:jc w:val="both"/>
              <w:rPr>
                <w:rFonts w:ascii="Times New Roman" w:hAnsi="Times New Roman" w:cs="Times New Roman"/>
                <w:sz w:val="24"/>
                <w:szCs w:val="24"/>
              </w:rPr>
            </w:pPr>
            <w:r w:rsidRPr="00952BDE">
              <w:rPr>
                <w:rFonts w:ascii="Times New Roman" w:hAnsi="Times New Roman" w:cs="Times New Roman"/>
                <w:sz w:val="24"/>
                <w:szCs w:val="24"/>
              </w:rPr>
              <w:t>Отказът да се финансират част от заявените разходи на кандидата, които са включени в проект, одобрен за подпомагане по ПРСР 2014 – 2020 г.</w:t>
            </w:r>
          </w:p>
        </w:tc>
      </w:tr>
    </w:tbl>
    <w:p w:rsidR="004E655E" w:rsidRPr="00952BDE" w:rsidRDefault="004E655E" w:rsidP="004E655E">
      <w:pPr>
        <w:rPr>
          <w:sz w:val="24"/>
          <w:szCs w:val="24"/>
        </w:rPr>
      </w:pPr>
    </w:p>
    <w:p w:rsidR="004E655E" w:rsidRDefault="004E655E"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Default="008E6815" w:rsidP="004E655E">
      <w:pPr>
        <w:rPr>
          <w:sz w:val="24"/>
          <w:szCs w:val="24"/>
        </w:rPr>
      </w:pPr>
    </w:p>
    <w:p w:rsidR="008E6815" w:rsidRPr="00952BDE" w:rsidRDefault="008E6815" w:rsidP="004E655E">
      <w:pPr>
        <w:rPr>
          <w:sz w:val="24"/>
          <w:szCs w:val="24"/>
        </w:rPr>
      </w:pPr>
    </w:p>
    <w:p w:rsidR="004E655E" w:rsidRPr="00952BDE" w:rsidRDefault="004E655E" w:rsidP="004E655E">
      <w:pPr>
        <w:pStyle w:val="1"/>
        <w:spacing w:line="240" w:lineRule="auto"/>
        <w:rPr>
          <w:rFonts w:cs="Times New Roman"/>
          <w:szCs w:val="24"/>
        </w:rPr>
      </w:pPr>
      <w:bookmarkStart w:id="2" w:name="_Toc505614638"/>
      <w:r w:rsidRPr="00952BDE">
        <w:rPr>
          <w:rFonts w:cs="Times New Roman"/>
          <w:szCs w:val="24"/>
        </w:rPr>
        <w:lastRenderedPageBreak/>
        <w:t>1. Наименование на програмата:</w:t>
      </w:r>
      <w:bookmarkEnd w:id="2"/>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Програма за развитие на селските райони за периода 2014 – 2020 г. (ПРСР</w:t>
            </w:r>
            <w:r w:rsidRPr="004A24F1">
              <w:rPr>
                <w:rFonts w:ascii="Times New Roman" w:hAnsi="Times New Roman" w:cs="Times New Roman"/>
                <w:sz w:val="24"/>
                <w:szCs w:val="24"/>
                <w:lang w:val="ru-RU"/>
              </w:rPr>
              <w:t xml:space="preserve"> 2014-2020</w:t>
            </w:r>
            <w:r w:rsidRPr="004A24F1">
              <w:rPr>
                <w:rFonts w:ascii="Times New Roman" w:hAnsi="Times New Roman" w:cs="Times New Roman"/>
                <w:sz w:val="24"/>
                <w:szCs w:val="24"/>
              </w:rPr>
              <w:t>)</w:t>
            </w:r>
          </w:p>
        </w:tc>
      </w:tr>
    </w:tbl>
    <w:p w:rsidR="004E655E" w:rsidRPr="00952BDE" w:rsidRDefault="004E655E" w:rsidP="004E655E">
      <w:pPr>
        <w:pStyle w:val="1"/>
        <w:spacing w:line="240" w:lineRule="auto"/>
        <w:rPr>
          <w:rFonts w:cs="Times New Roman"/>
          <w:szCs w:val="24"/>
        </w:rPr>
      </w:pPr>
      <w:bookmarkStart w:id="3" w:name="_Toc505614639"/>
      <w:r w:rsidRPr="00952BDE">
        <w:rPr>
          <w:rFonts w:cs="Times New Roman"/>
          <w:szCs w:val="24"/>
        </w:rPr>
        <w:t>2. Наименование на приоритетната ос:</w:t>
      </w:r>
      <w:bookmarkEnd w:id="3"/>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 xml:space="preserve">Подкрепа за местно развитие по LEADER (ВОМР — водено от общностите местно развитие) </w:t>
            </w:r>
          </w:p>
        </w:tc>
      </w:tr>
    </w:tbl>
    <w:p w:rsidR="004E655E" w:rsidRPr="00952BDE" w:rsidRDefault="004E655E" w:rsidP="004E655E">
      <w:pPr>
        <w:pStyle w:val="1"/>
        <w:spacing w:line="240" w:lineRule="auto"/>
        <w:rPr>
          <w:rFonts w:cs="Times New Roman"/>
          <w:szCs w:val="24"/>
        </w:rPr>
      </w:pPr>
      <w:bookmarkStart w:id="4" w:name="_Toc505614640"/>
      <w:r w:rsidRPr="00952BDE">
        <w:rPr>
          <w:rFonts w:cs="Times New Roman"/>
          <w:szCs w:val="24"/>
        </w:rPr>
        <w:t>3. Наименование на процедурата:</w:t>
      </w:r>
      <w:bookmarkEnd w:id="4"/>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BD7550">
              <w:rPr>
                <w:rFonts w:ascii="Times New Roman" w:eastAsia="Times New Roman" w:hAnsi="Times New Roman" w:cs="Times New Roman"/>
                <w:bCs/>
                <w:sz w:val="24"/>
                <w:szCs w:val="24"/>
                <w:shd w:val="clear" w:color="auto" w:fill="FEFEFE"/>
                <w:lang w:eastAsia="bg-BG"/>
              </w:rPr>
              <w:t>Процедура чрез подбор на проектни предложения с няколко срока за кандидатстване № BG06RDNP001-19.12</w:t>
            </w:r>
            <w:r>
              <w:rPr>
                <w:rFonts w:ascii="Times New Roman" w:eastAsia="Times New Roman" w:hAnsi="Times New Roman" w:cs="Times New Roman"/>
                <w:bCs/>
                <w:sz w:val="24"/>
                <w:szCs w:val="24"/>
                <w:shd w:val="clear" w:color="auto" w:fill="FEFEFE"/>
                <w:lang w:eastAsia="bg-BG"/>
              </w:rPr>
              <w:t>1</w:t>
            </w:r>
            <w:r w:rsidRPr="00BD7550">
              <w:rPr>
                <w:rFonts w:ascii="Times New Roman" w:eastAsia="Times New Roman" w:hAnsi="Times New Roman" w:cs="Times New Roman"/>
                <w:bCs/>
                <w:sz w:val="24"/>
                <w:szCs w:val="24"/>
                <w:shd w:val="clear" w:color="auto" w:fill="FEFEFE"/>
                <w:lang w:eastAsia="bg-BG"/>
              </w:rPr>
              <w:t xml:space="preserve"> по под мярка 7.2.“Инвестиции в създаването, подобряването или разширяването на всички видове малка по мащаби инфраструктура“ от Стратегия за Водено от общностите местно развитие Програма за развитие на селските райони 2014-2020</w:t>
            </w:r>
            <w:r w:rsidRPr="004A24F1">
              <w:rPr>
                <w:rFonts w:ascii="Times New Roman" w:eastAsia="Times New Roman" w:hAnsi="Times New Roman" w:cs="Times New Roman"/>
                <w:bCs/>
                <w:sz w:val="24"/>
                <w:szCs w:val="24"/>
                <w:shd w:val="clear" w:color="auto" w:fill="FEFEFE"/>
                <w:lang w:eastAsia="bg-BG"/>
              </w:rPr>
              <w:t xml:space="preserve">  </w:t>
            </w:r>
            <w:r w:rsidRPr="004A24F1">
              <w:rPr>
                <w:rFonts w:ascii="Times New Roman" w:hAnsi="Times New Roman" w:cs="Times New Roman"/>
                <w:sz w:val="24"/>
                <w:szCs w:val="24"/>
              </w:rPr>
              <w:t xml:space="preserve">по </w:t>
            </w:r>
            <w:r w:rsidRPr="004A24F1">
              <w:rPr>
                <w:rFonts w:ascii="Times New Roman" w:eastAsia="Times New Roman" w:hAnsi="Times New Roman" w:cs="Times New Roman"/>
                <w:bCs/>
                <w:sz w:val="24"/>
                <w:szCs w:val="24"/>
                <w:shd w:val="clear" w:color="auto" w:fill="FEFEFE"/>
                <w:lang w:eastAsia="bg-BG"/>
              </w:rPr>
              <w:t>под мярка 7.2.„Инвестиции в създаването, подобряването или разширяването на всички видове малка по мащаби инфраструктура“ от СВОМР на МИГ Чирпан.</w:t>
            </w:r>
          </w:p>
          <w:p w:rsidR="004E655E" w:rsidRPr="004A0F03" w:rsidRDefault="004E655E" w:rsidP="001163C1">
            <w:pPr>
              <w:widowControl w:val="0"/>
              <w:autoSpaceDE w:val="0"/>
              <w:autoSpaceDN w:val="0"/>
              <w:adjustRightInd w:val="0"/>
              <w:jc w:val="both"/>
              <w:rPr>
                <w:rFonts w:ascii="Times New Roman" w:eastAsia="Times New Roman" w:hAnsi="Times New Roman" w:cs="Times New Roman"/>
                <w:color w:val="FF0000"/>
                <w:sz w:val="24"/>
                <w:szCs w:val="24"/>
                <w:shd w:val="clear" w:color="auto" w:fill="FEFEFE"/>
                <w:lang w:eastAsia="bg-BG"/>
              </w:rPr>
            </w:pPr>
            <w:r w:rsidRPr="004A24F1">
              <w:rPr>
                <w:rFonts w:ascii="Times New Roman" w:eastAsia="Times New Roman" w:hAnsi="Times New Roman" w:cs="Times New Roman"/>
                <w:sz w:val="24"/>
                <w:szCs w:val="24"/>
                <w:shd w:val="clear" w:color="auto" w:fill="FEFEFE"/>
                <w:lang w:eastAsia="bg-BG"/>
              </w:rPr>
              <w:t>Изпълнението на настоящата процедура се извършва чрез процедура на подбор на проектни предложения в съответствие с чл. 25, ал. 1, т. 1 от ЗУСЕСИФ и 9б, т. 2 от ЗПЗП</w:t>
            </w:r>
            <w:r w:rsidRPr="004A24F1">
              <w:rPr>
                <w:rFonts w:ascii="Times New Roman" w:eastAsia="Times New Roman" w:hAnsi="Times New Roman" w:cs="Times New Roman"/>
                <w:color w:val="FF0000"/>
                <w:sz w:val="24"/>
                <w:szCs w:val="24"/>
                <w:shd w:val="clear" w:color="auto" w:fill="FEFEFE"/>
                <w:lang w:eastAsia="bg-BG"/>
              </w:rPr>
              <w:t>.</w:t>
            </w:r>
          </w:p>
        </w:tc>
      </w:tr>
    </w:tbl>
    <w:p w:rsidR="004E655E" w:rsidRPr="00952BDE" w:rsidRDefault="004E655E" w:rsidP="004E655E">
      <w:pPr>
        <w:pStyle w:val="1"/>
        <w:spacing w:line="240" w:lineRule="auto"/>
        <w:rPr>
          <w:rFonts w:cs="Times New Roman"/>
          <w:szCs w:val="24"/>
        </w:rPr>
      </w:pPr>
      <w:bookmarkStart w:id="5" w:name="_Toc505614641"/>
      <w:r w:rsidRPr="00952BDE">
        <w:rPr>
          <w:rFonts w:cs="Times New Roman"/>
          <w:szCs w:val="24"/>
        </w:rPr>
        <w:t>4. Измерения по кодове:</w:t>
      </w:r>
      <w:bookmarkEnd w:id="5"/>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Неприложимо</w:t>
            </w:r>
          </w:p>
        </w:tc>
      </w:tr>
    </w:tbl>
    <w:p w:rsidR="004E655E" w:rsidRPr="00952BDE" w:rsidRDefault="004E655E" w:rsidP="004E655E">
      <w:pPr>
        <w:pStyle w:val="1"/>
        <w:spacing w:line="240" w:lineRule="auto"/>
        <w:rPr>
          <w:rFonts w:cs="Times New Roman"/>
          <w:szCs w:val="24"/>
        </w:rPr>
      </w:pPr>
      <w:bookmarkStart w:id="6" w:name="_Toc505614642"/>
      <w:r w:rsidRPr="00952BDE">
        <w:rPr>
          <w:rFonts w:cs="Times New Roman"/>
          <w:szCs w:val="24"/>
        </w:rPr>
        <w:t>5. Териториален обхват:</w:t>
      </w:r>
      <w:bookmarkEnd w:id="6"/>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eastAsia="MS Mincho" w:hAnsi="Times New Roman" w:cs="Times New Roman"/>
                <w:sz w:val="24"/>
                <w:szCs w:val="24"/>
                <w:lang w:eastAsia="sr-Cyrl-CS"/>
              </w:rPr>
              <w:t xml:space="preserve">Цялата територия на действие на Стратегията за ВОМР на МИГ Чирпан, която съвпада с територията на </w:t>
            </w:r>
            <w:r w:rsidRPr="004A24F1">
              <w:rPr>
                <w:rFonts w:ascii="Times New Roman" w:hAnsi="Times New Roman"/>
                <w:sz w:val="24"/>
                <w:szCs w:val="24"/>
                <w:lang w:eastAsia="sr-Cyrl-CS"/>
              </w:rPr>
              <w:t>Община Чирпан, област Стара Загора.</w:t>
            </w:r>
          </w:p>
        </w:tc>
      </w:tr>
    </w:tbl>
    <w:p w:rsidR="004E655E" w:rsidRPr="00952BDE" w:rsidRDefault="004E655E" w:rsidP="004E655E">
      <w:pPr>
        <w:pStyle w:val="1"/>
        <w:jc w:val="both"/>
        <w:rPr>
          <w:rFonts w:cs="Times New Roman"/>
          <w:szCs w:val="24"/>
        </w:rPr>
      </w:pPr>
      <w:bookmarkStart w:id="7" w:name="_Toc505614643"/>
      <w:r w:rsidRPr="00952BDE">
        <w:rPr>
          <w:rFonts w:cs="Times New Roman"/>
          <w:szCs w:val="24"/>
        </w:rPr>
        <w:t>6. Цели на предоставяната безвъзмездна финансова помощ по процедурата и очаквани резултати:</w:t>
      </w:r>
      <w:bookmarkEnd w:id="7"/>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eastAsiaTheme="majorEastAsia" w:hAnsi="Times New Roman" w:cs="Times New Roman"/>
                <w:b/>
                <w:bCs/>
                <w:sz w:val="24"/>
                <w:szCs w:val="24"/>
              </w:rPr>
            </w:pPr>
            <w:r w:rsidRPr="004A24F1">
              <w:rPr>
                <w:rFonts w:ascii="Times New Roman" w:eastAsiaTheme="majorEastAsia" w:hAnsi="Times New Roman" w:cs="Times New Roman"/>
                <w:b/>
                <w:bCs/>
                <w:sz w:val="24"/>
                <w:szCs w:val="24"/>
              </w:rPr>
              <w:t xml:space="preserve">Цели </w:t>
            </w:r>
          </w:p>
          <w:p w:rsidR="004E655E" w:rsidRPr="004A24F1" w:rsidRDefault="004E655E" w:rsidP="001163C1">
            <w:pPr>
              <w:autoSpaceDE w:val="0"/>
              <w:autoSpaceDN w:val="0"/>
              <w:adjustRightInd w:val="0"/>
              <w:jc w:val="both"/>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 xml:space="preserve">Основна цел на мярката е насърчаване на социалното приобщаване, намаляването на </w:t>
            </w:r>
            <w:r w:rsidRPr="004A24F1">
              <w:rPr>
                <w:rFonts w:ascii="Times New Roman" w:eastAsia="MS Mincho" w:hAnsi="Times New Roman" w:cs="Times New Roman"/>
                <w:sz w:val="24"/>
                <w:szCs w:val="24"/>
                <w:lang w:eastAsia="bg-BG"/>
              </w:rPr>
              <w:lastRenderedPageBreak/>
              <w:t>бедността и икономическото развитие на община Чирпан чрез:</w:t>
            </w:r>
          </w:p>
          <w:p w:rsidR="004E655E" w:rsidRPr="004A24F1" w:rsidRDefault="004E655E" w:rsidP="004E655E">
            <w:pPr>
              <w:numPr>
                <w:ilvl w:val="0"/>
                <w:numId w:val="5"/>
              </w:numPr>
              <w:autoSpaceDE w:val="0"/>
              <w:autoSpaceDN w:val="0"/>
              <w:adjustRightInd w:val="0"/>
              <w:spacing w:after="0" w:line="240" w:lineRule="auto"/>
              <w:ind w:left="441"/>
              <w:jc w:val="both"/>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подобряване на средата и качеството на живот в населените места на община Чирпан;</w:t>
            </w:r>
          </w:p>
          <w:p w:rsidR="004E655E" w:rsidRPr="004A24F1" w:rsidRDefault="004E655E" w:rsidP="004E655E">
            <w:pPr>
              <w:numPr>
                <w:ilvl w:val="0"/>
                <w:numId w:val="5"/>
              </w:numPr>
              <w:autoSpaceDE w:val="0"/>
              <w:autoSpaceDN w:val="0"/>
              <w:adjustRightInd w:val="0"/>
              <w:spacing w:after="0" w:line="240" w:lineRule="auto"/>
              <w:ind w:left="441"/>
              <w:jc w:val="both"/>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осигуряване на базови услуги на населението на община Чирпан и достъпа до тях в сферата на образованието, здравеопазването и социалните грижи, науката и културата, водоснабдяването и канализацията, енергоснабдяването, транспорта, благоустройството, физическата култура, спорта и отдиха.</w:t>
            </w:r>
          </w:p>
          <w:p w:rsidR="004E655E" w:rsidRPr="004A24F1" w:rsidRDefault="004E655E" w:rsidP="001163C1">
            <w:pPr>
              <w:autoSpaceDE w:val="0"/>
              <w:autoSpaceDN w:val="0"/>
              <w:adjustRightInd w:val="0"/>
              <w:ind w:left="441"/>
              <w:jc w:val="both"/>
              <w:rPr>
                <w:rFonts w:ascii="Times New Roman" w:eastAsia="MS Mincho" w:hAnsi="Times New Roman" w:cs="Times New Roman"/>
                <w:sz w:val="24"/>
                <w:szCs w:val="24"/>
                <w:lang w:eastAsia="bg-BG"/>
              </w:rPr>
            </w:pPr>
            <w:r w:rsidRPr="004A24F1">
              <w:rPr>
                <w:rFonts w:ascii="Times New Roman" w:eastAsia="Times New Roman" w:hAnsi="Times New Roman" w:cs="Times New Roman"/>
                <w:b/>
                <w:sz w:val="24"/>
                <w:szCs w:val="24"/>
              </w:rPr>
              <w:t>Обосновка:</w:t>
            </w:r>
          </w:p>
          <w:p w:rsidR="004E655E" w:rsidRPr="004A24F1" w:rsidRDefault="004E655E" w:rsidP="001163C1">
            <w:pPr>
              <w:spacing w:after="240"/>
              <w:jc w:val="both"/>
              <w:rPr>
                <w:rFonts w:ascii="Times New Roman" w:eastAsia="Times New Roman" w:hAnsi="Times New Roman" w:cs="Times New Roman"/>
                <w:sz w:val="24"/>
                <w:szCs w:val="24"/>
              </w:rPr>
            </w:pPr>
            <w:r w:rsidRPr="004A24F1">
              <w:rPr>
                <w:rFonts w:ascii="Times New Roman" w:eastAsia="Times New Roman" w:hAnsi="Times New Roman" w:cs="Times New Roman"/>
                <w:sz w:val="24"/>
                <w:szCs w:val="24"/>
              </w:rPr>
              <w:t>Публичната инфраструктура е основен фактор за осигуряване на базови услуги на населението в градовете и в селата и за осигуряване на достъпа до тях. Устойчивото социално-икономическо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селските и градските райони в България и който, освен това е пречка за създаването на равни възможности в социално-икономическото развитие на селските райони.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 което ги поставя в социално-икономически спад.</w:t>
            </w:r>
          </w:p>
          <w:p w:rsidR="004E655E" w:rsidRPr="004A24F1" w:rsidRDefault="004E655E" w:rsidP="001163C1">
            <w:pPr>
              <w:spacing w:before="240" w:after="240"/>
              <w:jc w:val="both"/>
              <w:rPr>
                <w:rFonts w:ascii="Times New Roman" w:eastAsia="Times New Roman" w:hAnsi="Times New Roman" w:cs="Times New Roman"/>
                <w:sz w:val="24"/>
                <w:szCs w:val="24"/>
              </w:rPr>
            </w:pPr>
            <w:r w:rsidRPr="004A24F1">
              <w:rPr>
                <w:rFonts w:ascii="Times New Roman" w:eastAsia="Times New Roman" w:hAnsi="Times New Roman" w:cs="Times New Roman"/>
                <w:sz w:val="24"/>
                <w:szCs w:val="24"/>
              </w:rPr>
              <w:t>За да се намалят съществуващите различия между селските и градските райони, с предоставянето на фокусираната подкрепа ще се създаде, подобри или разшири малка по мащаби инфраструктура в селските райони. По този начин подкрепата ще допринесе до ограничаването на диспропорциите в териториалното разпределение на населението и обезлюдяването на селските райони.</w:t>
            </w:r>
          </w:p>
          <w:p w:rsidR="004E655E" w:rsidRPr="004A24F1" w:rsidRDefault="004E655E" w:rsidP="001163C1">
            <w:pPr>
              <w:spacing w:before="240" w:after="240"/>
              <w:jc w:val="both"/>
              <w:rPr>
                <w:rFonts w:ascii="Times New Roman" w:eastAsia="Times New Roman" w:hAnsi="Times New Roman" w:cs="Times New Roman"/>
                <w:sz w:val="24"/>
                <w:szCs w:val="24"/>
              </w:rPr>
            </w:pPr>
            <w:r w:rsidRPr="004A24F1">
              <w:rPr>
                <w:rFonts w:ascii="Times New Roman" w:eastAsia="Times New Roman" w:hAnsi="Times New Roman" w:cs="Times New Roman"/>
                <w:sz w:val="24"/>
                <w:szCs w:val="24"/>
              </w:rPr>
              <w:t>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техническа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rsidR="004E655E" w:rsidRPr="004A24F1" w:rsidRDefault="004E655E" w:rsidP="001163C1">
            <w:pPr>
              <w:spacing w:before="240" w:after="240"/>
              <w:jc w:val="both"/>
              <w:rPr>
                <w:rFonts w:ascii="Times New Roman" w:hAnsi="Times New Roman" w:cs="Times New Roman"/>
                <w:sz w:val="24"/>
                <w:szCs w:val="24"/>
              </w:rPr>
            </w:pPr>
            <w:r w:rsidRPr="004A24F1">
              <w:rPr>
                <w:rFonts w:ascii="Times New Roman" w:eastAsia="Times New Roman" w:hAnsi="Times New Roman" w:cs="Times New Roman"/>
                <w:b/>
                <w:sz w:val="24"/>
                <w:szCs w:val="24"/>
              </w:rPr>
              <w:t>Очакваните резултати</w:t>
            </w:r>
            <w:r w:rsidRPr="004A24F1">
              <w:rPr>
                <w:rFonts w:ascii="Times New Roman" w:eastAsia="Times New Roman" w:hAnsi="Times New Roman" w:cs="Times New Roman"/>
                <w:sz w:val="24"/>
                <w:szCs w:val="24"/>
              </w:rPr>
              <w:t xml:space="preserve"> от подпомагането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селските райони, опазването на </w:t>
            </w:r>
            <w:r w:rsidRPr="004A24F1">
              <w:rPr>
                <w:rFonts w:ascii="Times New Roman" w:eastAsia="Times New Roman" w:hAnsi="Times New Roman" w:cs="Times New Roman"/>
                <w:sz w:val="24"/>
                <w:szCs w:val="24"/>
              </w:rPr>
              <w:lastRenderedPageBreak/>
              <w:t>околната среда, създаването на достъпност и развитие на икономиката и образованието.</w:t>
            </w:r>
          </w:p>
        </w:tc>
      </w:tr>
    </w:tbl>
    <w:p w:rsidR="004E655E" w:rsidRPr="00952BDE" w:rsidRDefault="004E655E" w:rsidP="004E655E">
      <w:pPr>
        <w:pStyle w:val="1"/>
        <w:rPr>
          <w:rFonts w:cs="Times New Roman"/>
          <w:szCs w:val="24"/>
        </w:rPr>
      </w:pPr>
      <w:bookmarkStart w:id="8" w:name="_Toc505614644"/>
      <w:r w:rsidRPr="00952BDE">
        <w:rPr>
          <w:rFonts w:cs="Times New Roman"/>
          <w:szCs w:val="24"/>
        </w:rPr>
        <w:lastRenderedPageBreak/>
        <w:t>7. Индикатори:</w:t>
      </w:r>
      <w:bookmarkEnd w:id="8"/>
    </w:p>
    <w:tbl>
      <w:tblPr>
        <w:tblStyle w:val="a9"/>
        <w:tblW w:w="0" w:type="auto"/>
        <w:tblLook w:val="04A0" w:firstRow="1" w:lastRow="0" w:firstColumn="1" w:lastColumn="0" w:noHBand="0" w:noVBand="1"/>
      </w:tblPr>
      <w:tblGrid>
        <w:gridCol w:w="9288"/>
      </w:tblGrid>
      <w:tr w:rsidR="004E655E" w:rsidTr="001163C1">
        <w:tc>
          <w:tcPr>
            <w:tcW w:w="9212" w:type="dxa"/>
          </w:tcPr>
          <w:tbl>
            <w:tblPr>
              <w:tblW w:w="921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02"/>
              <w:gridCol w:w="3694"/>
              <w:gridCol w:w="1055"/>
              <w:gridCol w:w="879"/>
              <w:gridCol w:w="2384"/>
            </w:tblGrid>
            <w:tr w:rsidR="004E655E" w:rsidRPr="0010658B" w:rsidTr="001163C1">
              <w:trPr>
                <w:trHeight w:val="599"/>
                <w:tblHeader/>
              </w:trPr>
              <w:tc>
                <w:tcPr>
                  <w:tcW w:w="9214" w:type="dxa"/>
                  <w:gridSpan w:val="5"/>
                  <w:tcBorders>
                    <w:top w:val="single" w:sz="4" w:space="0" w:color="333333"/>
                    <w:left w:val="single" w:sz="4" w:space="0" w:color="333333"/>
                    <w:bottom w:val="single" w:sz="4" w:space="0" w:color="333333"/>
                    <w:right w:val="single" w:sz="4" w:space="0" w:color="333333"/>
                  </w:tcBorders>
                  <w:shd w:val="clear" w:color="auto" w:fill="244061"/>
                  <w:vAlign w:val="center"/>
                </w:tcPr>
                <w:p w:rsidR="004E655E" w:rsidRPr="0010658B" w:rsidRDefault="004E655E" w:rsidP="001163C1">
                  <w:pPr>
                    <w:autoSpaceDE w:val="0"/>
                    <w:autoSpaceDN w:val="0"/>
                    <w:adjustRightInd w:val="0"/>
                    <w:spacing w:before="40" w:after="40"/>
                    <w:jc w:val="center"/>
                    <w:rPr>
                      <w:rFonts w:ascii="Times New Roman" w:hAnsi="Times New Roman"/>
                      <w:b/>
                      <w:sz w:val="24"/>
                      <w:szCs w:val="24"/>
                      <w:lang w:eastAsia="bg-BG"/>
                    </w:rPr>
                  </w:pPr>
                  <w:r w:rsidRPr="0010658B">
                    <w:rPr>
                      <w:rFonts w:ascii="Times New Roman" w:hAnsi="Times New Roman"/>
                      <w:b/>
                      <w:sz w:val="24"/>
                      <w:szCs w:val="24"/>
                      <w:lang w:eastAsia="bg-BG"/>
                    </w:rPr>
                    <w:t>Индикатори по Под-мярка 7.2. Инвестиции в създаването, подобряването или разширяването на всички видове малка по мащаби инфраструктура</w:t>
                  </w:r>
                </w:p>
              </w:tc>
            </w:tr>
            <w:tr w:rsidR="004E655E" w:rsidRPr="0010658B" w:rsidTr="001163C1">
              <w:trPr>
                <w:trHeight w:val="584"/>
                <w:tblHeader/>
              </w:trPr>
              <w:tc>
                <w:tcPr>
                  <w:tcW w:w="1202"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vAlign w:val="center"/>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 xml:space="preserve">Вид </w:t>
                  </w:r>
                </w:p>
              </w:tc>
              <w:tc>
                <w:tcPr>
                  <w:tcW w:w="3694"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Индикатор</w:t>
                  </w:r>
                </w:p>
              </w:tc>
              <w:tc>
                <w:tcPr>
                  <w:tcW w:w="1055"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Мерна единица</w:t>
                  </w:r>
                </w:p>
              </w:tc>
              <w:tc>
                <w:tcPr>
                  <w:tcW w:w="879"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Цел до 2022</w:t>
                  </w:r>
                </w:p>
              </w:tc>
              <w:tc>
                <w:tcPr>
                  <w:tcW w:w="2384"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tcPr>
                <w:p w:rsidR="004E655E" w:rsidRPr="0010658B" w:rsidRDefault="004E655E" w:rsidP="001163C1">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Източник на информация</w:t>
                  </w:r>
                </w:p>
              </w:tc>
            </w:tr>
            <w:tr w:rsidR="004E655E" w:rsidRPr="0010658B" w:rsidTr="001163C1">
              <w:trPr>
                <w:trHeight w:val="321"/>
              </w:trPr>
              <w:tc>
                <w:tcPr>
                  <w:tcW w:w="1202" w:type="dxa"/>
                  <w:vMerge w:val="restart"/>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r w:rsidRPr="0010658B">
                    <w:rPr>
                      <w:rFonts w:ascii="Times New Roman" w:hAnsi="Times New Roman"/>
                      <w:b/>
                      <w:sz w:val="24"/>
                      <w:szCs w:val="24"/>
                      <w:lang w:eastAsia="bg-BG"/>
                    </w:rPr>
                    <w:t>Изходен</w:t>
                  </w: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проекти, финансирани по мярката</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highlight w:val="green"/>
                      <w:lang w:eastAsia="bg-BG"/>
                    </w:rPr>
                  </w:pPr>
                  <w:r w:rsidRPr="0010658B">
                    <w:rPr>
                      <w:rFonts w:ascii="Times New Roman" w:hAnsi="Times New Roman"/>
                      <w:sz w:val="24"/>
                      <w:szCs w:val="24"/>
                      <w:lang w:eastAsia="bg-BG"/>
                    </w:rPr>
                    <w:t>Регистър на договорите</w:t>
                  </w:r>
                </w:p>
              </w:tc>
            </w:tr>
            <w:tr w:rsidR="004E655E" w:rsidRPr="0010658B" w:rsidTr="001163C1">
              <w:trPr>
                <w:trHeight w:val="418"/>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бенефициенти, подпомогнати по мярката</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1</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4E655E" w:rsidRPr="0010658B" w:rsidTr="001163C1">
              <w:trPr>
                <w:trHeight w:val="342"/>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Размер на публичната помощ от ЕЗФРСР</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spacing w:after="120"/>
                    <w:jc w:val="both"/>
                    <w:rPr>
                      <w:rFonts w:ascii="Times New Roman" w:hAnsi="Times New Roman"/>
                      <w:sz w:val="24"/>
                      <w:szCs w:val="24"/>
                      <w:lang w:eastAsia="bg-BG"/>
                    </w:rPr>
                  </w:pPr>
                  <w:r w:rsidRPr="0010658B">
                    <w:rPr>
                      <w:rFonts w:ascii="Times New Roman" w:hAnsi="Times New Roman"/>
                      <w:sz w:val="24"/>
                      <w:szCs w:val="24"/>
                      <w:lang w:eastAsia="bg-BG"/>
                    </w:rPr>
                    <w:t>хил.лв.</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800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lang w:eastAsia="bg-BG"/>
                    </w:rPr>
                  </w:pPr>
                  <w:r w:rsidRPr="0010658B">
                    <w:rPr>
                      <w:rFonts w:ascii="Times New Roman" w:hAnsi="Times New Roman"/>
                      <w:sz w:val="24"/>
                      <w:szCs w:val="24"/>
                      <w:lang w:eastAsia="bg-BG"/>
                    </w:rPr>
                    <w:t>Документи на проектите, отчети на бенефициентите</w:t>
                  </w:r>
                </w:p>
              </w:tc>
            </w:tr>
            <w:tr w:rsidR="004E655E" w:rsidRPr="0010658B" w:rsidTr="001163C1">
              <w:trPr>
                <w:trHeight w:val="532"/>
              </w:trPr>
              <w:tc>
                <w:tcPr>
                  <w:tcW w:w="1202" w:type="dxa"/>
                  <w:vMerge w:val="restart"/>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b/>
                      <w:sz w:val="24"/>
                      <w:szCs w:val="24"/>
                      <w:lang w:eastAsia="bg-BG"/>
                    </w:rPr>
                  </w:pPr>
                  <w:r w:rsidRPr="0010658B">
                    <w:rPr>
                      <w:rFonts w:ascii="Times New Roman" w:hAnsi="Times New Roman"/>
                      <w:b/>
                      <w:sz w:val="24"/>
                      <w:szCs w:val="24"/>
                      <w:lang w:eastAsia="bg-BG"/>
                    </w:rPr>
                    <w:t>Резултат</w:t>
                  </w: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Дял от населението на територията, обхванато от проекти, свързани с подобряване на жизнената среда</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center"/>
                    <w:rPr>
                      <w:rFonts w:ascii="Times New Roman" w:hAnsi="Times New Roman"/>
                      <w:color w:val="000000"/>
                      <w:sz w:val="24"/>
                      <w:szCs w:val="24"/>
                    </w:rPr>
                  </w:pPr>
                  <w:r w:rsidRPr="0010658B">
                    <w:rPr>
                      <w:rFonts w:ascii="Times New Roman" w:hAnsi="Times New Roman"/>
                      <w:color w:val="000000"/>
                      <w:sz w:val="24"/>
                      <w:szCs w:val="24"/>
                    </w:rPr>
                    <w:t>40%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База данни на МИГ</w:t>
                  </w:r>
                </w:p>
              </w:tc>
            </w:tr>
            <w:tr w:rsidR="004E655E" w:rsidRPr="0010658B" w:rsidTr="001163C1">
              <w:trPr>
                <w:trHeight w:val="540"/>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 xml:space="preserve">Дял от населението на територията, което се ползва от подобрената среда </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center"/>
                    <w:rPr>
                      <w:rFonts w:ascii="Times New Roman" w:hAnsi="Times New Roman"/>
                      <w:color w:val="FF6600"/>
                      <w:sz w:val="24"/>
                      <w:szCs w:val="24"/>
                    </w:rPr>
                  </w:pPr>
                  <w:r w:rsidRPr="0010658B">
                    <w:rPr>
                      <w:rFonts w:ascii="Times New Roman" w:hAnsi="Times New Roman"/>
                      <w:color w:val="000000"/>
                      <w:sz w:val="24"/>
                      <w:szCs w:val="24"/>
                    </w:rPr>
                    <w:t>70%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rPr>
                  </w:pPr>
                  <w:r w:rsidRPr="0010658B">
                    <w:rPr>
                      <w:rFonts w:ascii="Times New Roman" w:hAnsi="Times New Roman"/>
                      <w:sz w:val="24"/>
                      <w:szCs w:val="24"/>
                    </w:rPr>
                    <w:t>База данни на МИГ</w:t>
                  </w:r>
                </w:p>
              </w:tc>
            </w:tr>
            <w:tr w:rsidR="004E655E" w:rsidRPr="0010658B" w:rsidTr="001163C1">
              <w:trPr>
                <w:trHeight w:val="540"/>
              </w:trPr>
              <w:tc>
                <w:tcPr>
                  <w:tcW w:w="1202" w:type="dxa"/>
                  <w:vMerge/>
                  <w:tcBorders>
                    <w:top w:val="single" w:sz="4" w:space="0" w:color="333333"/>
                    <w:left w:val="single" w:sz="4" w:space="0" w:color="333333"/>
                    <w:bottom w:val="single" w:sz="4" w:space="0" w:color="333333"/>
                    <w:right w:val="single" w:sz="4" w:space="0" w:color="333333"/>
                  </w:tcBorders>
                  <w:vAlign w:val="center"/>
                </w:tcPr>
                <w:p w:rsidR="004E655E" w:rsidRPr="0010658B" w:rsidRDefault="004E655E" w:rsidP="001163C1">
                  <w:pPr>
                    <w:autoSpaceDE w:val="0"/>
                    <w:autoSpaceDN w:val="0"/>
                    <w:adjustRightInd w:val="0"/>
                    <w:spacing w:after="120"/>
                    <w:ind w:left="-108" w:right="-108"/>
                    <w:jc w:val="center"/>
                    <w:rPr>
                      <w:rFonts w:ascii="Times New Roman" w:hAnsi="Times New Roman"/>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Дял на реализираните проекти извън общинския център</w:t>
                  </w:r>
                </w:p>
              </w:tc>
              <w:tc>
                <w:tcPr>
                  <w:tcW w:w="1055"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jc w:val="both"/>
                    <w:rPr>
                      <w:rFonts w:ascii="Times New Roman" w:hAnsi="Times New Roman"/>
                      <w:sz w:val="24"/>
                      <w:szCs w:val="24"/>
                      <w:lang w:eastAsia="bg-BG"/>
                    </w:rPr>
                  </w:pPr>
                  <w:r w:rsidRPr="0010658B">
                    <w:rPr>
                      <w:rFonts w:ascii="Times New Roman" w:hAnsi="Times New Roman"/>
                      <w:sz w:val="24"/>
                      <w:szCs w:val="24"/>
                      <w:lang w:eastAsia="bg-BG"/>
                    </w:rPr>
                    <w:t>%</w:t>
                  </w:r>
                </w:p>
              </w:tc>
              <w:tc>
                <w:tcPr>
                  <w:tcW w:w="879"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autoSpaceDE w:val="0"/>
                    <w:autoSpaceDN w:val="0"/>
                    <w:adjustRightInd w:val="0"/>
                    <w:ind w:right="113"/>
                    <w:jc w:val="center"/>
                    <w:rPr>
                      <w:rFonts w:ascii="Times New Roman" w:hAnsi="Times New Roman"/>
                      <w:sz w:val="24"/>
                      <w:szCs w:val="24"/>
                      <w:lang w:eastAsia="bg-BG"/>
                    </w:rPr>
                  </w:pPr>
                  <w:r w:rsidRPr="0010658B">
                    <w:rPr>
                      <w:rFonts w:ascii="Times New Roman" w:hAnsi="Times New Roman"/>
                      <w:sz w:val="24"/>
                      <w:szCs w:val="24"/>
                      <w:lang w:eastAsia="bg-BG"/>
                    </w:rPr>
                    <w:t>20%</w:t>
                  </w:r>
                </w:p>
              </w:tc>
              <w:tc>
                <w:tcPr>
                  <w:tcW w:w="2384" w:type="dxa"/>
                  <w:tcBorders>
                    <w:top w:val="single" w:sz="4" w:space="0" w:color="333333"/>
                    <w:left w:val="single" w:sz="4" w:space="0" w:color="333333"/>
                    <w:bottom w:val="single" w:sz="4" w:space="0" w:color="333333"/>
                    <w:right w:val="single" w:sz="4" w:space="0" w:color="333333"/>
                  </w:tcBorders>
                </w:tcPr>
                <w:p w:rsidR="004E655E" w:rsidRPr="0010658B" w:rsidRDefault="004E655E" w:rsidP="001163C1">
                  <w:pPr>
                    <w:ind w:right="-108"/>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bl>
          <w:p w:rsidR="004E655E" w:rsidRDefault="004E655E" w:rsidP="001163C1">
            <w:pPr>
              <w:jc w:val="both"/>
              <w:rPr>
                <w:rFonts w:ascii="Times New Roman" w:hAnsi="Times New Roman" w:cs="Times New Roman"/>
              </w:rPr>
            </w:pPr>
          </w:p>
          <w:p w:rsidR="004E655E" w:rsidRPr="004A24F1" w:rsidRDefault="004E655E" w:rsidP="001163C1">
            <w:pPr>
              <w:jc w:val="both"/>
              <w:rPr>
                <w:rFonts w:ascii="Times New Roman" w:hAnsi="Times New Roman" w:cs="Times New Roman"/>
                <w:color w:val="FF0000"/>
                <w:sz w:val="24"/>
                <w:szCs w:val="24"/>
              </w:rPr>
            </w:pPr>
            <w:r w:rsidRPr="004A24F1">
              <w:rPr>
                <w:rFonts w:ascii="Times New Roman" w:hAnsi="Times New Roman" w:cs="Times New Roman"/>
                <w:sz w:val="24"/>
                <w:szCs w:val="24"/>
              </w:rPr>
              <w:t>Всеки кандидат трябва да включи в секция 8 във Формуляра за кандидатстване тези от индикаторите, които ще постигне с изпълнението на конкретния проект</w:t>
            </w:r>
            <w:r w:rsidRPr="004A24F1">
              <w:rPr>
                <w:rFonts w:ascii="Times New Roman" w:hAnsi="Times New Roman" w:cs="Times New Roman"/>
                <w:color w:val="FF0000"/>
                <w:sz w:val="24"/>
                <w:szCs w:val="24"/>
              </w:rPr>
              <w:t>.</w:t>
            </w:r>
          </w:p>
          <w:p w:rsidR="004E655E" w:rsidRPr="00126349" w:rsidRDefault="004E655E" w:rsidP="00126349">
            <w:pPr>
              <w:jc w:val="both"/>
              <w:rPr>
                <w:rFonts w:ascii="Times New Roman" w:hAnsi="Times New Roman" w:cs="Times New Roman"/>
                <w:b/>
                <w:sz w:val="24"/>
                <w:szCs w:val="24"/>
              </w:rPr>
            </w:pPr>
            <w:r w:rsidRPr="004A24F1">
              <w:rPr>
                <w:rFonts w:ascii="Times New Roman" w:hAnsi="Times New Roman" w:cs="Times New Roman"/>
                <w:b/>
                <w:sz w:val="24"/>
                <w:szCs w:val="24"/>
              </w:rPr>
              <w:t xml:space="preserve">Внимание! Кандидата попълва само индикатори за резултат! </w:t>
            </w:r>
          </w:p>
        </w:tc>
      </w:tr>
    </w:tbl>
    <w:p w:rsidR="004E655E" w:rsidRDefault="004E655E" w:rsidP="004E655E">
      <w:pPr>
        <w:pStyle w:val="1"/>
      </w:pPr>
      <w:bookmarkStart w:id="9" w:name="_Toc505614645"/>
      <w:r>
        <w:lastRenderedPageBreak/>
        <w:t>8. Общ размер на безвъзмездната финансова помощ по процедурата</w:t>
      </w:r>
      <w:r w:rsidRPr="00F74842">
        <w:t>:</w:t>
      </w:r>
      <w:bookmarkEnd w:id="9"/>
    </w:p>
    <w:tbl>
      <w:tblPr>
        <w:tblStyle w:val="a9"/>
        <w:tblW w:w="0" w:type="auto"/>
        <w:tblLook w:val="04A0" w:firstRow="1" w:lastRow="0" w:firstColumn="1" w:lastColumn="0" w:noHBand="0" w:noVBand="1"/>
      </w:tblPr>
      <w:tblGrid>
        <w:gridCol w:w="9285"/>
      </w:tblGrid>
      <w:tr w:rsidR="004E655E" w:rsidRPr="004A24F1" w:rsidTr="001163C1">
        <w:tc>
          <w:tcPr>
            <w:tcW w:w="9212" w:type="dxa"/>
          </w:tcPr>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Общият размер на безвъзмездната финансова помощ  по процедурата чрез подбор  на проектни предложения по под мярка 7.2.</w:t>
            </w:r>
            <w:r w:rsidRPr="004A24F1">
              <w:rPr>
                <w:rFonts w:ascii="Times New Roman" w:eastAsiaTheme="majorEastAsia" w:hAnsi="Times New Roman" w:cstheme="majorBidi"/>
                <w:b/>
                <w:bCs/>
                <w:sz w:val="24"/>
                <w:szCs w:val="24"/>
              </w:rPr>
              <w:t xml:space="preserve"> „Инвестиции в създаването, подобряването или разширяването на всички видове малка по мащаби инфраструктура“  </w:t>
            </w:r>
            <w:r w:rsidRPr="004A24F1">
              <w:rPr>
                <w:rFonts w:ascii="Times New Roman" w:hAnsi="Times New Roman" w:cs="Times New Roman"/>
                <w:sz w:val="24"/>
                <w:szCs w:val="24"/>
              </w:rPr>
              <w:t>е в размер на 800 000,00 лв.</w:t>
            </w:r>
          </w:p>
          <w:p w:rsidR="004E655E" w:rsidRPr="004A24F1" w:rsidRDefault="004E655E" w:rsidP="001163C1">
            <w:pPr>
              <w:shd w:val="clear" w:color="auto" w:fill="FFFFFF"/>
              <w:spacing w:before="120"/>
              <w:jc w:val="both"/>
              <w:rPr>
                <w:rFonts w:ascii="Times New Roman" w:hAnsi="Times New Roman" w:cs="Times New Roman"/>
                <w:sz w:val="24"/>
                <w:szCs w:val="24"/>
              </w:rPr>
            </w:pPr>
            <w:r w:rsidRPr="004A24F1">
              <w:rPr>
                <w:rFonts w:ascii="Times New Roman" w:hAnsi="Times New Roman" w:cs="Times New Roman"/>
                <w:sz w:val="24"/>
                <w:szCs w:val="24"/>
              </w:rPr>
              <w:t>В случай, че има неусвоен бюджет след първи прием на проектни предложения, максималният размер на безвъзмездната финансова помощ за втори прием е в съответствие с неусвоения бюджет от първия.</w:t>
            </w:r>
          </w:p>
          <w:tbl>
            <w:tblPr>
              <w:tblW w:w="9059" w:type="dxa"/>
              <w:tblCellMar>
                <w:left w:w="70" w:type="dxa"/>
                <w:right w:w="70" w:type="dxa"/>
              </w:tblCellMar>
              <w:tblLook w:val="04A0" w:firstRow="1" w:lastRow="0" w:firstColumn="1" w:lastColumn="0" w:noHBand="0" w:noVBand="1"/>
            </w:tblPr>
            <w:tblGrid>
              <w:gridCol w:w="2988"/>
              <w:gridCol w:w="3852"/>
              <w:gridCol w:w="2219"/>
            </w:tblGrid>
            <w:tr w:rsidR="004E655E" w:rsidRPr="004A24F1" w:rsidTr="001163C1">
              <w:trPr>
                <w:trHeight w:val="973"/>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5E" w:rsidRPr="004A24F1" w:rsidRDefault="004E655E" w:rsidP="001163C1">
                  <w:pPr>
                    <w:spacing w:after="0" w:line="240" w:lineRule="auto"/>
                    <w:jc w:val="center"/>
                    <w:rPr>
                      <w:rFonts w:ascii="Times New Roman" w:eastAsia="Times New Roman" w:hAnsi="Times New Roman" w:cs="Times New Roman"/>
                      <w:b/>
                      <w:bCs/>
                      <w:color w:val="000000"/>
                      <w:sz w:val="24"/>
                      <w:szCs w:val="24"/>
                      <w:lang w:eastAsia="bg-BG"/>
                    </w:rPr>
                  </w:pPr>
                  <w:r w:rsidRPr="004A24F1">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E655E" w:rsidRPr="004A24F1" w:rsidRDefault="004E655E" w:rsidP="001163C1">
                  <w:pPr>
                    <w:spacing w:after="0" w:line="240" w:lineRule="auto"/>
                    <w:jc w:val="center"/>
                    <w:rPr>
                      <w:rFonts w:ascii="Times New Roman" w:eastAsia="Times New Roman" w:hAnsi="Times New Roman" w:cs="Times New Roman"/>
                      <w:b/>
                      <w:bCs/>
                      <w:color w:val="000000"/>
                      <w:sz w:val="24"/>
                      <w:szCs w:val="24"/>
                      <w:lang w:eastAsia="bg-BG"/>
                    </w:rPr>
                  </w:pPr>
                  <w:r w:rsidRPr="004A24F1">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4E655E" w:rsidRPr="004A24F1" w:rsidRDefault="004E655E" w:rsidP="001163C1">
                  <w:pPr>
                    <w:spacing w:after="0" w:line="240" w:lineRule="auto"/>
                    <w:jc w:val="center"/>
                    <w:rPr>
                      <w:rFonts w:ascii="Times New Roman" w:eastAsia="Times New Roman" w:hAnsi="Times New Roman" w:cs="Times New Roman"/>
                      <w:b/>
                      <w:bCs/>
                      <w:color w:val="000000"/>
                      <w:sz w:val="24"/>
                      <w:szCs w:val="24"/>
                      <w:lang w:eastAsia="bg-BG"/>
                    </w:rPr>
                  </w:pPr>
                  <w:r w:rsidRPr="004A24F1">
                    <w:rPr>
                      <w:rFonts w:ascii="Times New Roman" w:eastAsia="Times New Roman" w:hAnsi="Times New Roman" w:cs="Times New Roman"/>
                      <w:b/>
                      <w:bCs/>
                      <w:color w:val="000000"/>
                      <w:sz w:val="24"/>
                      <w:szCs w:val="24"/>
                      <w:lang w:eastAsia="bg-BG"/>
                    </w:rPr>
                    <w:t>Национално съфинансиране</w:t>
                  </w:r>
                </w:p>
              </w:tc>
            </w:tr>
            <w:tr w:rsidR="004E655E" w:rsidRPr="004A24F1" w:rsidTr="001163C1">
              <w:trPr>
                <w:trHeight w:val="405"/>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800 000,00 лв.</w:t>
                  </w:r>
                </w:p>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720 000,00 лв.</w:t>
                  </w:r>
                </w:p>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(90 %)</w:t>
                  </w:r>
                </w:p>
              </w:tc>
              <w:tc>
                <w:tcPr>
                  <w:tcW w:w="2219" w:type="dxa"/>
                  <w:tcBorders>
                    <w:top w:val="single" w:sz="4" w:space="0" w:color="auto"/>
                    <w:left w:val="nil"/>
                    <w:bottom w:val="single" w:sz="4" w:space="0" w:color="auto"/>
                    <w:right w:val="single" w:sz="4" w:space="0" w:color="auto"/>
                  </w:tcBorders>
                  <w:shd w:val="clear" w:color="auto" w:fill="auto"/>
                  <w:vAlign w:val="center"/>
                </w:tcPr>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80 000,00 лв.</w:t>
                  </w:r>
                </w:p>
                <w:p w:rsidR="004E655E" w:rsidRPr="004A24F1" w:rsidRDefault="004E655E" w:rsidP="001163C1">
                  <w:pPr>
                    <w:spacing w:after="0" w:line="240" w:lineRule="auto"/>
                    <w:jc w:val="center"/>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(10 %)</w:t>
                  </w:r>
                </w:p>
              </w:tc>
            </w:tr>
          </w:tbl>
          <w:p w:rsidR="004E655E" w:rsidRPr="004A24F1" w:rsidRDefault="004E655E" w:rsidP="001163C1">
            <w:pPr>
              <w:rPr>
                <w:sz w:val="24"/>
                <w:szCs w:val="24"/>
              </w:rPr>
            </w:pPr>
          </w:p>
        </w:tc>
      </w:tr>
    </w:tbl>
    <w:p w:rsidR="004E655E" w:rsidRPr="000A6D26" w:rsidRDefault="004E655E" w:rsidP="004E655E"/>
    <w:p w:rsidR="004E655E" w:rsidRPr="000A6D26" w:rsidRDefault="004E655E" w:rsidP="004E655E">
      <w:pPr>
        <w:pStyle w:val="1"/>
        <w:jc w:val="both"/>
      </w:pPr>
      <w:bookmarkStart w:id="10" w:name="_Toc505614646"/>
      <w:r>
        <w:t xml:space="preserve">9. </w:t>
      </w:r>
      <w:bookmarkEnd w:id="10"/>
      <w:r w:rsidRPr="000A6D26">
        <w:t xml:space="preserve">Минимален и максимален размер на допустимите разходи </w:t>
      </w:r>
      <w:r>
        <w:t>и безвъзмездна финансова помощ</w:t>
      </w:r>
      <w:r w:rsidRPr="000A6D26">
        <w:t xml:space="preserve"> за конкретен проект:</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0F03" w:rsidRDefault="004E655E" w:rsidP="001163C1">
            <w:pPr>
              <w:jc w:val="both"/>
              <w:rPr>
                <w:rFonts w:ascii="Times New Roman" w:eastAsiaTheme="majorEastAsia" w:hAnsi="Times New Roman" w:cstheme="majorBidi"/>
                <w:b/>
                <w:bCs/>
                <w:sz w:val="24"/>
                <w:szCs w:val="28"/>
              </w:rPr>
            </w:pPr>
            <w:bookmarkStart w:id="11" w:name="to_paragraph_id30997643"/>
            <w:bookmarkEnd w:id="11"/>
            <w:r>
              <w:rPr>
                <w:rFonts w:ascii="Times New Roman" w:eastAsia="MS Mincho" w:hAnsi="Times New Roman" w:cs="Times New Roman"/>
                <w:sz w:val="24"/>
                <w:szCs w:val="24"/>
                <w:lang w:eastAsia="bg-BG"/>
              </w:rPr>
              <w:t>1</w:t>
            </w:r>
            <w:r w:rsidRPr="004A0F03">
              <w:rPr>
                <w:rFonts w:ascii="Times New Roman" w:eastAsiaTheme="majorEastAsia" w:hAnsi="Times New Roman" w:cstheme="majorBidi"/>
                <w:b/>
                <w:bCs/>
                <w:sz w:val="24"/>
                <w:szCs w:val="28"/>
              </w:rPr>
              <w:t>. Минимален и максимален размер на допустимите разходи</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MS Mincho" w:hAnsi="Times New Roman" w:cs="Times New Roman"/>
                <w:sz w:val="24"/>
                <w:szCs w:val="24"/>
                <w:lang w:eastAsia="bg-BG"/>
              </w:rPr>
              <w:t>Минимален размер на допустимите разходи -  20</w:t>
            </w:r>
            <w:r>
              <w:rPr>
                <w:rFonts w:ascii="Times New Roman" w:eastAsia="MS Mincho" w:hAnsi="Times New Roman" w:cs="Times New Roman"/>
                <w:sz w:val="24"/>
                <w:szCs w:val="24"/>
                <w:lang w:eastAsia="bg-BG"/>
              </w:rPr>
              <w:t> </w:t>
            </w:r>
            <w:r w:rsidRPr="004A24F1">
              <w:rPr>
                <w:rFonts w:ascii="Times New Roman" w:eastAsia="MS Mincho" w:hAnsi="Times New Roman" w:cs="Times New Roman"/>
                <w:sz w:val="24"/>
                <w:szCs w:val="24"/>
                <w:lang w:eastAsia="bg-BG"/>
              </w:rPr>
              <w:t>000</w:t>
            </w:r>
            <w:r>
              <w:rPr>
                <w:rFonts w:ascii="Times New Roman" w:eastAsia="MS Mincho" w:hAnsi="Times New Roman" w:cs="Times New Roman"/>
                <w:sz w:val="24"/>
                <w:szCs w:val="24"/>
                <w:lang w:eastAsia="bg-BG"/>
              </w:rPr>
              <w:t>,00</w:t>
            </w:r>
            <w:r w:rsidRPr="004A24F1">
              <w:rPr>
                <w:rFonts w:ascii="Times New Roman" w:eastAsia="MS Mincho" w:hAnsi="Times New Roman" w:cs="Times New Roman"/>
                <w:sz w:val="24"/>
                <w:szCs w:val="24"/>
                <w:lang w:eastAsia="bg-BG"/>
              </w:rPr>
              <w:t xml:space="preserve"> лева.</w:t>
            </w:r>
          </w:p>
          <w:p w:rsidR="004E655E" w:rsidRDefault="004E655E" w:rsidP="001163C1">
            <w:pPr>
              <w:shd w:val="clear" w:color="auto" w:fill="FFFFFF"/>
              <w:spacing w:line="75" w:lineRule="atLeast"/>
              <w:rPr>
                <w:rFonts w:ascii="Times New Roman" w:eastAsia="MS Mincho" w:hAnsi="Times New Roman" w:cs="Times New Roman"/>
                <w:sz w:val="24"/>
                <w:szCs w:val="24"/>
                <w:lang w:eastAsia="bg-BG"/>
              </w:rPr>
            </w:pPr>
            <w:r w:rsidRPr="004A24F1">
              <w:rPr>
                <w:rFonts w:ascii="Times New Roman" w:eastAsia="MS Mincho" w:hAnsi="Times New Roman" w:cs="Times New Roman"/>
                <w:sz w:val="24"/>
                <w:szCs w:val="24"/>
                <w:lang w:eastAsia="bg-BG"/>
              </w:rPr>
              <w:t>Максимален размер на допустимите разходи -  391</w:t>
            </w:r>
            <w:r>
              <w:rPr>
                <w:rFonts w:ascii="Times New Roman" w:eastAsia="MS Mincho" w:hAnsi="Times New Roman" w:cs="Times New Roman"/>
                <w:sz w:val="24"/>
                <w:szCs w:val="24"/>
                <w:lang w:eastAsia="bg-BG"/>
              </w:rPr>
              <w:t> </w:t>
            </w:r>
            <w:r w:rsidRPr="004A24F1">
              <w:rPr>
                <w:rFonts w:ascii="Times New Roman" w:eastAsia="MS Mincho" w:hAnsi="Times New Roman" w:cs="Times New Roman"/>
                <w:sz w:val="24"/>
                <w:szCs w:val="24"/>
                <w:lang w:eastAsia="bg-BG"/>
              </w:rPr>
              <w:t>160</w:t>
            </w:r>
            <w:r>
              <w:rPr>
                <w:rFonts w:ascii="Times New Roman" w:eastAsia="MS Mincho" w:hAnsi="Times New Roman" w:cs="Times New Roman"/>
                <w:sz w:val="24"/>
                <w:szCs w:val="24"/>
                <w:lang w:eastAsia="bg-BG"/>
              </w:rPr>
              <w:t>,00</w:t>
            </w:r>
            <w:r w:rsidRPr="004A24F1">
              <w:rPr>
                <w:rFonts w:ascii="Times New Roman" w:eastAsia="MS Mincho" w:hAnsi="Times New Roman" w:cs="Times New Roman"/>
                <w:sz w:val="24"/>
                <w:szCs w:val="24"/>
                <w:lang w:eastAsia="bg-BG"/>
              </w:rPr>
              <w:t xml:space="preserve"> лева.</w:t>
            </w:r>
          </w:p>
          <w:p w:rsidR="004E655E" w:rsidRDefault="004E655E" w:rsidP="001163C1">
            <w:pPr>
              <w:shd w:val="clear" w:color="auto" w:fill="FFFFFF"/>
              <w:spacing w:line="75" w:lineRule="atLeast"/>
              <w:rPr>
                <w:rFonts w:ascii="Times New Roman" w:eastAsiaTheme="majorEastAsia" w:hAnsi="Times New Roman" w:cstheme="majorBidi"/>
                <w:b/>
                <w:bCs/>
                <w:sz w:val="24"/>
                <w:szCs w:val="28"/>
              </w:rPr>
            </w:pPr>
            <w:r w:rsidRPr="004A0F03">
              <w:rPr>
                <w:rFonts w:ascii="Times New Roman" w:eastAsiaTheme="majorEastAsia" w:hAnsi="Times New Roman" w:cstheme="majorBidi"/>
                <w:b/>
                <w:bCs/>
                <w:sz w:val="24"/>
                <w:szCs w:val="28"/>
              </w:rPr>
              <w:t>2.Минимален и максимален размер на безвъзмездна финансова помощ</w:t>
            </w:r>
          </w:p>
          <w:p w:rsidR="004E655E" w:rsidRPr="004A0F03"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MS Mincho" w:hAnsi="Times New Roman" w:cs="Times New Roman"/>
                <w:sz w:val="24"/>
                <w:szCs w:val="24"/>
                <w:lang w:eastAsia="bg-BG"/>
              </w:rPr>
              <w:t xml:space="preserve">Минимален размер на </w:t>
            </w:r>
            <w:r w:rsidRPr="004A0F03">
              <w:rPr>
                <w:rFonts w:ascii="Times New Roman" w:eastAsiaTheme="majorEastAsia" w:hAnsi="Times New Roman" w:cstheme="majorBidi"/>
                <w:bCs/>
                <w:sz w:val="24"/>
                <w:szCs w:val="28"/>
              </w:rPr>
              <w:t>безвъзмездна финансова помощ</w:t>
            </w:r>
            <w:r w:rsidRPr="004A0F03">
              <w:rPr>
                <w:rFonts w:ascii="Times New Roman" w:eastAsia="MS Mincho" w:hAnsi="Times New Roman" w:cs="Times New Roman"/>
                <w:sz w:val="24"/>
                <w:szCs w:val="24"/>
                <w:lang w:eastAsia="bg-BG"/>
              </w:rPr>
              <w:t xml:space="preserve"> -  20 000,00 лева.</w:t>
            </w:r>
          </w:p>
          <w:p w:rsidR="004E655E" w:rsidRDefault="004E655E" w:rsidP="001163C1">
            <w:pPr>
              <w:shd w:val="clear" w:color="auto" w:fill="FFFFFF"/>
              <w:spacing w:line="75" w:lineRule="atLeast"/>
              <w:rPr>
                <w:rFonts w:ascii="Times New Roman" w:eastAsia="MS Mincho" w:hAnsi="Times New Roman" w:cs="Times New Roman"/>
                <w:sz w:val="24"/>
                <w:szCs w:val="24"/>
                <w:lang w:eastAsia="bg-BG"/>
              </w:rPr>
            </w:pPr>
            <w:r w:rsidRPr="004A0F03">
              <w:rPr>
                <w:rFonts w:ascii="Times New Roman" w:eastAsia="MS Mincho" w:hAnsi="Times New Roman" w:cs="Times New Roman"/>
                <w:sz w:val="24"/>
                <w:szCs w:val="24"/>
                <w:lang w:eastAsia="bg-BG"/>
              </w:rPr>
              <w:t xml:space="preserve">Максимален размер на </w:t>
            </w:r>
            <w:r w:rsidRPr="004A0F03">
              <w:rPr>
                <w:rFonts w:ascii="Times New Roman" w:eastAsiaTheme="majorEastAsia" w:hAnsi="Times New Roman" w:cstheme="majorBidi"/>
                <w:bCs/>
                <w:sz w:val="24"/>
                <w:szCs w:val="28"/>
              </w:rPr>
              <w:t>безвъзмездна финансова помощ</w:t>
            </w:r>
            <w:r w:rsidRPr="004A24F1">
              <w:rPr>
                <w:rFonts w:ascii="Times New Roman" w:eastAsia="MS Mincho" w:hAnsi="Times New Roman" w:cs="Times New Roman"/>
                <w:sz w:val="24"/>
                <w:szCs w:val="24"/>
                <w:lang w:eastAsia="bg-BG"/>
              </w:rPr>
              <w:t xml:space="preserve"> -  391</w:t>
            </w:r>
            <w:r>
              <w:rPr>
                <w:rFonts w:ascii="Times New Roman" w:eastAsia="MS Mincho" w:hAnsi="Times New Roman" w:cs="Times New Roman"/>
                <w:sz w:val="24"/>
                <w:szCs w:val="24"/>
                <w:lang w:eastAsia="bg-BG"/>
              </w:rPr>
              <w:t> </w:t>
            </w:r>
            <w:r w:rsidRPr="004A24F1">
              <w:rPr>
                <w:rFonts w:ascii="Times New Roman" w:eastAsia="MS Mincho" w:hAnsi="Times New Roman" w:cs="Times New Roman"/>
                <w:sz w:val="24"/>
                <w:szCs w:val="24"/>
                <w:lang w:eastAsia="bg-BG"/>
              </w:rPr>
              <w:t>160</w:t>
            </w:r>
            <w:r>
              <w:rPr>
                <w:rFonts w:ascii="Times New Roman" w:eastAsia="MS Mincho" w:hAnsi="Times New Roman" w:cs="Times New Roman"/>
                <w:sz w:val="24"/>
                <w:szCs w:val="24"/>
                <w:lang w:eastAsia="bg-BG"/>
              </w:rPr>
              <w:t>,00</w:t>
            </w:r>
            <w:r w:rsidRPr="004A24F1">
              <w:rPr>
                <w:rFonts w:ascii="Times New Roman" w:eastAsia="MS Mincho" w:hAnsi="Times New Roman" w:cs="Times New Roman"/>
                <w:sz w:val="24"/>
                <w:szCs w:val="24"/>
                <w:lang w:eastAsia="bg-BG"/>
              </w:rPr>
              <w:t xml:space="preserve"> лева.</w:t>
            </w:r>
          </w:p>
          <w:p w:rsidR="004E655E" w:rsidRPr="004A24F1" w:rsidRDefault="004E655E" w:rsidP="001163C1">
            <w:pPr>
              <w:shd w:val="clear" w:color="auto" w:fill="FFFFFF"/>
              <w:spacing w:line="75" w:lineRule="atLeast"/>
              <w:rPr>
                <w:rFonts w:ascii="Times New Roman" w:eastAsia="MS Mincho" w:hAnsi="Times New Roman" w:cs="Times New Roman"/>
                <w:sz w:val="24"/>
                <w:szCs w:val="24"/>
                <w:lang w:eastAsia="bg-BG"/>
              </w:rPr>
            </w:pPr>
          </w:p>
        </w:tc>
      </w:tr>
    </w:tbl>
    <w:p w:rsidR="004E655E" w:rsidRDefault="004E655E" w:rsidP="004E655E">
      <w:pPr>
        <w:pStyle w:val="1"/>
      </w:pPr>
      <w:bookmarkStart w:id="12" w:name="_Toc505614647"/>
      <w:r>
        <w:t>10. Процент на съфинансиране</w:t>
      </w:r>
      <w:r w:rsidRPr="00F74842">
        <w:t>:</w:t>
      </w:r>
      <w:bookmarkEnd w:id="12"/>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Максималният размер на безвъзмездната финансова помощ е в размер 100% от общия размер на допустимите за финансово подпомагане разходи за проекта.</w:t>
            </w:r>
          </w:p>
          <w:p w:rsidR="004E655E" w:rsidRPr="004A24F1" w:rsidRDefault="004E655E" w:rsidP="001163C1">
            <w:pPr>
              <w:jc w:val="both"/>
              <w:rPr>
                <w:rFonts w:ascii="Times New Roman" w:eastAsia="MS Mincho" w:hAnsi="Times New Roman" w:cs="Times New Roman"/>
                <w:sz w:val="24"/>
                <w:szCs w:val="24"/>
                <w:lang w:eastAsia="sr-Cyrl-CS"/>
              </w:rPr>
            </w:pPr>
            <w:r w:rsidRPr="004A24F1">
              <w:rPr>
                <w:rFonts w:ascii="Times New Roman" w:eastAsia="MS Mincho" w:hAnsi="Times New Roman" w:cs="Times New Roman"/>
                <w:sz w:val="24"/>
                <w:szCs w:val="24"/>
                <w:lang w:eastAsia="sr-Cyrl-CS"/>
              </w:rPr>
              <w:t xml:space="preserve">(1) Финансовата помощ е в размер 100 на сто от общия размер на допустимите за финансово подпомагане разходи за проекти, които след извършване на инвестицията </w:t>
            </w:r>
            <w:r w:rsidRPr="004A24F1">
              <w:rPr>
                <w:rFonts w:ascii="Times New Roman" w:eastAsia="MS Mincho" w:hAnsi="Times New Roman" w:cs="Times New Roman"/>
                <w:sz w:val="24"/>
                <w:szCs w:val="24"/>
                <w:lang w:eastAsia="sr-Cyrl-CS"/>
              </w:rPr>
              <w:lastRenderedPageBreak/>
              <w:t>не генерират нетни приходи.</w:t>
            </w:r>
          </w:p>
          <w:p w:rsidR="004E655E" w:rsidRPr="004A24F1" w:rsidRDefault="004E655E" w:rsidP="001163C1">
            <w:pPr>
              <w:jc w:val="both"/>
              <w:rPr>
                <w:rFonts w:ascii="Times New Roman" w:eastAsia="MS Mincho" w:hAnsi="Times New Roman" w:cs="Times New Roman"/>
                <w:sz w:val="24"/>
                <w:szCs w:val="24"/>
                <w:lang w:eastAsia="sr-Cyrl-CS"/>
              </w:rPr>
            </w:pPr>
            <w:r w:rsidRPr="004A24F1">
              <w:rPr>
                <w:rFonts w:ascii="Times New Roman" w:eastAsia="MS Mincho" w:hAnsi="Times New Roman" w:cs="Times New Roman"/>
                <w:sz w:val="24"/>
                <w:szCs w:val="24"/>
                <w:lang w:eastAsia="sr-Cyrl-CS"/>
              </w:rPr>
              <w:t xml:space="preserve">(2) Финансовата помощ е в размер 100 на сто от общия размер на допустимите за финансово подпомагане разходи за проекти, които след извършване на инвестицията ще генерират нетни приходи, но размерът на допустимите за финансово подпомагане разходи за проекта не надхвърля 97 790 лв. </w:t>
            </w:r>
          </w:p>
          <w:p w:rsidR="004E655E" w:rsidRPr="004A24F1" w:rsidRDefault="004E655E" w:rsidP="001163C1">
            <w:pPr>
              <w:jc w:val="both"/>
              <w:rPr>
                <w:rFonts w:ascii="Times New Roman" w:eastAsia="MS Mincho" w:hAnsi="Times New Roman" w:cs="Times New Roman"/>
                <w:sz w:val="24"/>
                <w:szCs w:val="24"/>
                <w:lang w:eastAsia="sr-Cyrl-CS"/>
              </w:rPr>
            </w:pPr>
            <w:r w:rsidRPr="004A24F1">
              <w:rPr>
                <w:rFonts w:ascii="Times New Roman" w:eastAsia="MS Mincho" w:hAnsi="Times New Roman" w:cs="Times New Roman"/>
                <w:sz w:val="24"/>
                <w:szCs w:val="24"/>
                <w:lang w:eastAsia="sr-Cyrl-CS"/>
              </w:rPr>
              <w:t>(3) Размерът на финансовата помощ за проекти, които след извършване на инвестицията ще генерират нетни приходи се определя въз основа на анализ „разходи-ползи“.</w:t>
            </w:r>
          </w:p>
          <w:p w:rsidR="004E655E" w:rsidRPr="004A24F1" w:rsidRDefault="004E655E" w:rsidP="001163C1">
            <w:pPr>
              <w:jc w:val="both"/>
              <w:rPr>
                <w:rFonts w:ascii="Times New Roman" w:hAnsi="Times New Roman" w:cs="Times New Roman"/>
                <w:sz w:val="24"/>
                <w:szCs w:val="24"/>
              </w:rPr>
            </w:pPr>
            <w:r w:rsidRPr="004A24F1">
              <w:rPr>
                <w:rFonts w:ascii="Times New Roman" w:eastAsia="MS Mincho" w:hAnsi="Times New Roman" w:cs="Times New Roman"/>
                <w:sz w:val="24"/>
                <w:szCs w:val="24"/>
                <w:lang w:eastAsia="sr-Cyrl-CS"/>
              </w:rPr>
              <w:t>(4) Разликата между пълния размер на допустимите за финансово подпомагане разходи и размера на финансовата помощ определен въз основа на анализ „разходи-ползи“ по т. 3 се осигурява от кандидата, като участието на кандидата може да бъде само в парична форма.</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pStyle w:val="1"/>
      </w:pPr>
      <w:bookmarkStart w:id="13" w:name="_Toc505614648"/>
      <w:r>
        <w:lastRenderedPageBreak/>
        <w:t>11. Допустими кандидати</w:t>
      </w:r>
      <w:r w:rsidRPr="00F74842">
        <w:t>:</w:t>
      </w:r>
      <w:bookmarkEnd w:id="13"/>
    </w:p>
    <w:tbl>
      <w:tblPr>
        <w:tblStyle w:val="a9"/>
        <w:tblW w:w="0" w:type="auto"/>
        <w:tblLook w:val="04A0" w:firstRow="1" w:lastRow="0" w:firstColumn="1" w:lastColumn="0" w:noHBand="0" w:noVBand="1"/>
      </w:tblPr>
      <w:tblGrid>
        <w:gridCol w:w="9212"/>
      </w:tblGrid>
      <w:tr w:rsidR="004E655E" w:rsidTr="001163C1">
        <w:tc>
          <w:tcPr>
            <w:tcW w:w="9212" w:type="dxa"/>
          </w:tcPr>
          <w:p w:rsidR="004E655E" w:rsidRDefault="004E655E" w:rsidP="001163C1">
            <w:pPr>
              <w:keepNext/>
              <w:keepLines/>
              <w:contextualSpacing/>
              <w:jc w:val="both"/>
              <w:rPr>
                <w:rFonts w:ascii="Times New Roman" w:hAnsi="Times New Roman"/>
                <w:sz w:val="24"/>
                <w:szCs w:val="24"/>
                <w:lang w:eastAsia="bg-BG"/>
              </w:rPr>
            </w:pPr>
            <w:r>
              <w:rPr>
                <w:rFonts w:ascii="Times New Roman" w:hAnsi="Times New Roman"/>
                <w:sz w:val="24"/>
                <w:szCs w:val="24"/>
                <w:lang w:eastAsia="bg-BG"/>
              </w:rPr>
              <w:t>а</w:t>
            </w:r>
            <w:r w:rsidRPr="00262396">
              <w:rPr>
                <w:rFonts w:ascii="Times New Roman" w:hAnsi="Times New Roman"/>
                <w:sz w:val="24"/>
                <w:szCs w:val="24"/>
                <w:lang w:val="ru-RU" w:eastAsia="bg-BG"/>
              </w:rPr>
              <w:t>)</w:t>
            </w:r>
            <w:r w:rsidRPr="0010658B">
              <w:rPr>
                <w:rFonts w:ascii="Times New Roman" w:hAnsi="Times New Roman"/>
                <w:sz w:val="24"/>
                <w:szCs w:val="24"/>
                <w:lang w:eastAsia="bg-BG"/>
              </w:rPr>
              <w:t>Община Чирпан;</w:t>
            </w:r>
          </w:p>
          <w:p w:rsidR="004E655E" w:rsidRPr="0010658B" w:rsidRDefault="004E655E" w:rsidP="001163C1">
            <w:pPr>
              <w:keepNext/>
              <w:keepLines/>
              <w:contextualSpacing/>
              <w:jc w:val="both"/>
              <w:rPr>
                <w:rFonts w:ascii="Times New Roman" w:hAnsi="Times New Roman"/>
                <w:sz w:val="24"/>
                <w:szCs w:val="24"/>
                <w:lang w:eastAsia="bg-BG"/>
              </w:rPr>
            </w:pPr>
            <w:r>
              <w:rPr>
                <w:rFonts w:ascii="Times New Roman" w:hAnsi="Times New Roman"/>
                <w:sz w:val="24"/>
                <w:szCs w:val="24"/>
                <w:lang w:eastAsia="bg-BG"/>
              </w:rPr>
              <w:t>б</w:t>
            </w:r>
            <w:r w:rsidRPr="00262396">
              <w:rPr>
                <w:rFonts w:ascii="Times New Roman" w:hAnsi="Times New Roman"/>
                <w:sz w:val="24"/>
                <w:szCs w:val="24"/>
                <w:lang w:val="ru-RU" w:eastAsia="bg-BG"/>
              </w:rPr>
              <w:t>)</w:t>
            </w:r>
            <w:r w:rsidRPr="0010658B">
              <w:rPr>
                <w:rFonts w:ascii="Times New Roman" w:hAnsi="Times New Roman"/>
                <w:sz w:val="24"/>
                <w:szCs w:val="24"/>
                <w:lang w:eastAsia="bg-BG"/>
              </w:rPr>
              <w:t xml:space="preserve">Юридически лица с нестопанска цел (ЮЛНЦ), регистрирани по </w:t>
            </w:r>
            <w:r>
              <w:rPr>
                <w:rFonts w:ascii="Times New Roman" w:hAnsi="Times New Roman"/>
                <w:sz w:val="24"/>
                <w:szCs w:val="24"/>
                <w:lang w:eastAsia="bg-BG"/>
              </w:rPr>
              <w:t>ЗЮЛНЦ</w:t>
            </w:r>
            <w:r w:rsidRPr="0010658B">
              <w:rPr>
                <w:rFonts w:ascii="Times New Roman" w:hAnsi="Times New Roman"/>
                <w:sz w:val="24"/>
                <w:szCs w:val="24"/>
                <w:lang w:eastAsia="bg-BG"/>
              </w:rPr>
              <w:t>, свързани със социалната и спортната инфраструктура и културния живот</w:t>
            </w:r>
            <w:r>
              <w:rPr>
                <w:rFonts w:ascii="Times New Roman" w:hAnsi="Times New Roman"/>
                <w:sz w:val="24"/>
                <w:szCs w:val="24"/>
                <w:lang w:eastAsia="bg-BG"/>
              </w:rPr>
              <w:t xml:space="preserve"> </w:t>
            </w:r>
          </w:p>
          <w:p w:rsidR="004E655E" w:rsidRPr="00164134" w:rsidRDefault="004E655E" w:rsidP="001163C1">
            <w:r>
              <w:rPr>
                <w:rFonts w:ascii="Times New Roman" w:hAnsi="Times New Roman"/>
                <w:sz w:val="24"/>
                <w:szCs w:val="24"/>
                <w:lang w:eastAsia="bg-BG"/>
              </w:rPr>
              <w:t>в</w:t>
            </w:r>
            <w:r w:rsidRPr="00262396">
              <w:rPr>
                <w:rFonts w:ascii="Times New Roman" w:hAnsi="Times New Roman"/>
                <w:sz w:val="24"/>
                <w:szCs w:val="24"/>
                <w:lang w:val="ru-RU" w:eastAsia="bg-BG"/>
              </w:rPr>
              <w:t>)</w:t>
            </w:r>
            <w:r w:rsidRPr="0010658B">
              <w:rPr>
                <w:rFonts w:ascii="Times New Roman" w:hAnsi="Times New Roman"/>
                <w:sz w:val="24"/>
                <w:szCs w:val="24"/>
                <w:lang w:eastAsia="bg-BG"/>
              </w:rPr>
              <w:t>Читалища, регистрирани по Закона за народните читалища</w:t>
            </w:r>
            <w:r w:rsidRPr="0010658B">
              <w:rPr>
                <w:rFonts w:ascii="Times New Roman" w:hAnsi="Times New Roman"/>
              </w:rPr>
              <w:t xml:space="preserve"> </w:t>
            </w:r>
            <w:r w:rsidRPr="0010658B">
              <w:rPr>
                <w:rFonts w:ascii="Times New Roman" w:hAnsi="Times New Roman"/>
                <w:sz w:val="24"/>
                <w:szCs w:val="24"/>
                <w:lang w:eastAsia="bg-BG"/>
              </w:rPr>
              <w:t>за дейн</w:t>
            </w:r>
            <w:r>
              <w:rPr>
                <w:rFonts w:ascii="Times New Roman" w:hAnsi="Times New Roman"/>
                <w:sz w:val="24"/>
                <w:szCs w:val="24"/>
                <w:lang w:eastAsia="bg-BG"/>
              </w:rPr>
              <w:t>ости свързани с културния живот</w:t>
            </w:r>
          </w:p>
          <w:p w:rsidR="004E655E" w:rsidRDefault="004E655E" w:rsidP="001163C1"/>
        </w:tc>
      </w:tr>
    </w:tbl>
    <w:p w:rsidR="004E655E" w:rsidRDefault="004E655E" w:rsidP="004E655E">
      <w:pPr>
        <w:rPr>
          <w:rFonts w:ascii="Times New Roman" w:hAnsi="Times New Roman" w:cs="Times New Roman"/>
          <w:b/>
        </w:rPr>
      </w:pPr>
    </w:p>
    <w:p w:rsidR="004E655E" w:rsidRPr="006F787F" w:rsidRDefault="004E655E" w:rsidP="004E655E">
      <w:pPr>
        <w:rPr>
          <w:rFonts w:ascii="Times New Roman" w:hAnsi="Times New Roman" w:cs="Times New Roman"/>
          <w:b/>
        </w:rPr>
      </w:pPr>
      <w:r>
        <w:rPr>
          <w:rFonts w:ascii="Times New Roman" w:hAnsi="Times New Roman" w:cs="Times New Roman"/>
          <w:b/>
        </w:rPr>
        <w:t>11.1</w:t>
      </w:r>
      <w:r w:rsidRPr="00A11251">
        <w:rPr>
          <w:rFonts w:ascii="Times New Roman" w:hAnsi="Times New Roman" w:cs="Times New Roman"/>
          <w:b/>
          <w:color w:val="FF0000"/>
        </w:rPr>
        <w:t xml:space="preserve">. </w:t>
      </w:r>
      <w:r w:rsidRPr="006F787F">
        <w:rPr>
          <w:rFonts w:ascii="Times New Roman" w:hAnsi="Times New Roman" w:cs="Times New Roman"/>
          <w:b/>
        </w:rPr>
        <w:t>Критерии за допустимост на кандидатите:</w:t>
      </w:r>
    </w:p>
    <w:tbl>
      <w:tblPr>
        <w:tblStyle w:val="a9"/>
        <w:tblW w:w="0" w:type="auto"/>
        <w:tblLook w:val="04A0" w:firstRow="1" w:lastRow="0" w:firstColumn="1" w:lastColumn="0" w:noHBand="0" w:noVBand="1"/>
      </w:tblPr>
      <w:tblGrid>
        <w:gridCol w:w="9212"/>
      </w:tblGrid>
      <w:tr w:rsidR="004E655E" w:rsidRPr="00556E07" w:rsidTr="001163C1">
        <w:tc>
          <w:tcPr>
            <w:tcW w:w="9212" w:type="dxa"/>
          </w:tcPr>
          <w:p w:rsidR="004E655E" w:rsidRPr="004A24F1"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lastRenderedPageBreak/>
              <w:t>Кандидатите трябва да отговарят на условията  посочени в т.5.Описание на мерките , подраздел Изисквания за допустимост на кандидатите от СВОМР</w:t>
            </w:r>
          </w:p>
          <w:p w:rsidR="004E655E" w:rsidRPr="004A24F1"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t>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4E655E" w:rsidRPr="004A24F1"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4E655E" w:rsidRDefault="004E655E" w:rsidP="001163C1">
            <w:pPr>
              <w:keepNext/>
              <w:keepLines/>
              <w:contextualSpacing/>
              <w:jc w:val="both"/>
              <w:rPr>
                <w:rFonts w:ascii="Times New Roman" w:hAnsi="Times New Roman"/>
                <w:sz w:val="24"/>
                <w:szCs w:val="24"/>
                <w:lang w:eastAsia="bg-BG"/>
              </w:rPr>
            </w:pPr>
            <w:r w:rsidRPr="004A24F1">
              <w:rPr>
                <w:rFonts w:ascii="Times New Roman" w:hAnsi="Times New Roman"/>
                <w:sz w:val="24"/>
                <w:szCs w:val="24"/>
                <w:lang w:eastAsia="bg-BG"/>
              </w:rPr>
              <w:t xml:space="preserve">3. Кандидатът/получателят на помощта и/или негов законен или упълномощен представител трябва да отговаря на следните условия: </w:t>
            </w:r>
          </w:p>
          <w:p w:rsidR="004E655E" w:rsidRPr="004D453F" w:rsidRDefault="004E655E" w:rsidP="001163C1">
            <w:pPr>
              <w:keepNext/>
              <w:keepLines/>
              <w:contextualSpacing/>
              <w:jc w:val="both"/>
              <w:rPr>
                <w:rFonts w:ascii="Times New Roman" w:hAnsi="Times New Roman"/>
                <w:sz w:val="24"/>
                <w:szCs w:val="24"/>
                <w:lang w:eastAsia="bg-BG"/>
              </w:rPr>
            </w:pPr>
            <w:r w:rsidRPr="004D453F">
              <w:rPr>
                <w:rFonts w:ascii="Times New Roman" w:hAnsi="Times New Roman"/>
                <w:sz w:val="24"/>
                <w:szCs w:val="24"/>
                <w:lang w:eastAsia="bg-BG"/>
              </w:rPr>
              <w:t>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4E655E" w:rsidRPr="004D453F" w:rsidRDefault="004E655E" w:rsidP="001163C1">
            <w:pPr>
              <w:keepNext/>
              <w:keepLines/>
              <w:contextualSpacing/>
              <w:jc w:val="both"/>
              <w:rPr>
                <w:rFonts w:ascii="Times New Roman" w:hAnsi="Times New Roman"/>
                <w:sz w:val="24"/>
                <w:szCs w:val="24"/>
                <w:lang w:eastAsia="bg-BG"/>
              </w:rPr>
            </w:pPr>
            <w:r w:rsidRPr="004D453F">
              <w:rPr>
                <w:rFonts w:ascii="Times New Roman" w:hAnsi="Times New Roman"/>
                <w:sz w:val="24"/>
                <w:szCs w:val="24"/>
                <w:lang w:eastAsia="bg-BG"/>
              </w:rPr>
              <w:t>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rsidR="004E655E" w:rsidRDefault="004E655E" w:rsidP="001163C1">
            <w:pPr>
              <w:keepNext/>
              <w:keepLines/>
              <w:contextualSpacing/>
              <w:jc w:val="both"/>
              <w:rPr>
                <w:rFonts w:ascii="Times New Roman" w:hAnsi="Times New Roman"/>
                <w:sz w:val="24"/>
                <w:szCs w:val="24"/>
                <w:lang w:eastAsia="bg-BG"/>
              </w:rPr>
            </w:pPr>
            <w:r w:rsidRPr="004D453F">
              <w:rPr>
                <w:rFonts w:ascii="Times New Roman" w:hAnsi="Times New Roman"/>
                <w:sz w:val="24"/>
                <w:szCs w:val="24"/>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lastRenderedPageBreak/>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12. няма изискуеми и ликвидни задължения към ДФЗ;</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(обн., ОВ, L 298/1 от 26 октомври 2012 г.), наричан по-нататък "Регламент (ЕС, Евратом) № 966/2012";</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lastRenderedPageBreak/>
              <w:t>14.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15.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16. не е осъден с влязла в сила присъда, освен ако е реабилитиран, за: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а) участие в организирана престъпна група по чл. 321 и 321а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б) подкуп по чл. 301 - 307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г) престъпление против стопанството по чл. 219 - 252 от Наказателния кодекс;</w:t>
            </w:r>
          </w:p>
          <w:p w:rsidR="004E655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д) престъпление против собствеността по чл. 194 - 217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е) престъпление по чл. 108а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ж) престъпление по чл. 159а - 159г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з) престъпление по чл. 172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и) престъпление по чл. 192а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й) престъпление по чл. 352 - 353е от Наказателния кодекс;</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к) престъпление, аналогично на тези по букви "а" до "й", в друга държава членка или трета страна;</w:t>
            </w:r>
          </w:p>
          <w:p w:rsidR="004E655E" w:rsidRPr="003A0EC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17.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4E655E" w:rsidRDefault="004E655E" w:rsidP="001163C1">
            <w:pPr>
              <w:keepNext/>
              <w:keepLines/>
              <w:contextualSpacing/>
              <w:jc w:val="both"/>
              <w:rPr>
                <w:rFonts w:ascii="Times New Roman" w:hAnsi="Times New Roman"/>
                <w:sz w:val="24"/>
                <w:szCs w:val="24"/>
                <w:lang w:eastAsia="bg-BG"/>
              </w:rPr>
            </w:pPr>
            <w:r w:rsidRPr="003A0ECE">
              <w:rPr>
                <w:rFonts w:ascii="Times New Roman" w:hAnsi="Times New Roman"/>
                <w:sz w:val="24"/>
                <w:szCs w:val="24"/>
                <w:lang w:eastAsia="bg-BG"/>
              </w:rPr>
              <w:t>18.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4E655E" w:rsidRPr="004A24F1" w:rsidRDefault="004E655E" w:rsidP="001163C1">
            <w:pPr>
              <w:keepNext/>
              <w:keepLines/>
              <w:contextualSpacing/>
              <w:jc w:val="both"/>
              <w:rPr>
                <w:rFonts w:ascii="Times New Roman" w:hAnsi="Times New Roman"/>
                <w:sz w:val="24"/>
                <w:szCs w:val="24"/>
                <w:lang w:eastAsia="bg-BG"/>
              </w:rPr>
            </w:pPr>
          </w:p>
          <w:p w:rsidR="004E655E" w:rsidRPr="00793CCD" w:rsidRDefault="004E655E" w:rsidP="001163C1">
            <w:pPr>
              <w:jc w:val="both"/>
              <w:rPr>
                <w:b/>
                <w:color w:val="FF0000"/>
              </w:rPr>
            </w:pPr>
          </w:p>
        </w:tc>
      </w:tr>
    </w:tbl>
    <w:p w:rsidR="004E655E" w:rsidRPr="005E7E00" w:rsidRDefault="004E655E" w:rsidP="004E655E">
      <w:pPr>
        <w:pStyle w:val="1"/>
        <w:rPr>
          <w:sz w:val="22"/>
          <w:szCs w:val="22"/>
        </w:rPr>
      </w:pPr>
      <w:bookmarkStart w:id="14" w:name="_Toc505614649"/>
      <w:r w:rsidRPr="005E7E00">
        <w:rPr>
          <w:sz w:val="22"/>
          <w:szCs w:val="22"/>
        </w:rPr>
        <w:lastRenderedPageBreak/>
        <w:t>11.2 Критерии за недопустимост на кандидатите:</w:t>
      </w:r>
      <w:bookmarkEnd w:id="14"/>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1. Съгласно чл. 25, ал. 2 от ЗУСЕСИФ в процедурите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w:t>
            </w:r>
            <w:r w:rsidRPr="004A24F1">
              <w:rPr>
                <w:rFonts w:ascii="Times New Roman" w:eastAsia="Times New Roman" w:hAnsi="Times New Roman" w:cs="Times New Roman"/>
                <w:color w:val="000000"/>
                <w:sz w:val="24"/>
                <w:szCs w:val="24"/>
                <w:lang w:eastAsia="bg-BG"/>
              </w:rPr>
              <w:lastRenderedPageBreak/>
              <w:t>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1.1. </w:t>
            </w:r>
            <w:r w:rsidRPr="004A24F1">
              <w:rPr>
                <w:rFonts w:ascii="Times New Roman" w:hAnsi="Times New Roman" w:cs="Times New Roman"/>
                <w:sz w:val="24"/>
                <w:szCs w:val="24"/>
              </w:rPr>
              <w:t>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1.2. са осъдени с влязла в сила присъда, освен ако са реабилитирани, за престъпление, аналогично по т. 1.1, в друга държава членка или трета страна;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1.3. е налице неравнопоставеност в случаите по чл. 44, ал. 5 от ЗОП;</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1.4. е установено, че: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а) са представили документ с невярно съдържание, свързан с удостоверяване липса на основания за отстраняване или изпълнението на критериите за подбор;</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б) не са предоставили изискваща се информация, свързана с удостоверяване липса на основания за отстраняване или изпълнението на критериите за допустимост или подбор;</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1.5. е установено с влязло в сила наказателно постановление или съдебно решение, че при изпълнение на договор за обществена поръчка са </w:t>
            </w:r>
            <w:r w:rsidRPr="004A24F1">
              <w:rPr>
                <w:rFonts w:ascii="Times New Roman" w:hAnsi="Times New Roman" w:cs="Times New Roman"/>
                <w:sz w:val="24"/>
                <w:szCs w:val="24"/>
              </w:rPr>
              <w:t>нарушили чл.61, ал.1, чл.62, ал.1 или 3, чл63., ал.1 или 2, чл. 118, чл. 128,чл.288, ал.3,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hAnsi="Times New Roman" w:cs="Times New Roman"/>
                <w:sz w:val="24"/>
                <w:szCs w:val="24"/>
              </w:rPr>
              <w:t>1.6. е налице конфликт на интереси, който не може да бъде отстранен;</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1.7. не са изпълнили разпореждане на Европейската комисия за възстановяване на представената им неправомерна и несъвместима държавна помощ;</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1.8. лицата, които представляват кандидата:</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 xml:space="preserve">1.8.1. са били на трудово или служебно правоотношение в ДФЗ-РА или УО на ПРСР </w:t>
            </w:r>
            <w:r w:rsidRPr="004A24F1">
              <w:rPr>
                <w:rFonts w:ascii="Times New Roman" w:eastAsia="Times New Roman" w:hAnsi="Times New Roman" w:cs="Times New Roman"/>
                <w:sz w:val="24"/>
                <w:szCs w:val="24"/>
                <w:lang w:eastAsia="bg-BG"/>
              </w:rPr>
              <w:lastRenderedPageBreak/>
              <w:t>2014 – 2020 г. до една година от прекратяване на правоотношението;</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1.8.2. е лице, което попада в случаите по чл. 21 и 22 от Закона за предотвратяване и установяване на конфликт на интереси.</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 Основанията по т. 1.1, 1.2, 1.6 и 1.8 се отнасят за кмета на общината.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Съответствието с изискванията по т. 1.1, 1.2, 1.3, 1.4, 1.5, 1.6, 1.7 и 1.8 се доказват при кандидатстване само с декларация съгласно </w:t>
            </w:r>
            <w:r w:rsidRPr="004A24F1">
              <w:rPr>
                <w:rFonts w:ascii="Times New Roman" w:eastAsia="Times New Roman" w:hAnsi="Times New Roman" w:cs="Times New Roman"/>
                <w:sz w:val="24"/>
                <w:szCs w:val="24"/>
                <w:lang w:eastAsia="bg-BG"/>
              </w:rPr>
              <w:t xml:space="preserve">Приложение № </w:t>
            </w:r>
            <w:r w:rsidRPr="004A24F1">
              <w:rPr>
                <w:rFonts w:ascii="Times New Roman" w:eastAsia="Times New Roman" w:hAnsi="Times New Roman" w:cs="Times New Roman"/>
                <w:sz w:val="24"/>
                <w:szCs w:val="24"/>
                <w:lang w:val="ru-RU" w:eastAsia="bg-BG"/>
              </w:rPr>
              <w:t>3</w:t>
            </w:r>
            <w:r w:rsidRPr="004A24F1">
              <w:rPr>
                <w:rFonts w:ascii="Times New Roman" w:eastAsia="Times New Roman" w:hAnsi="Times New Roman" w:cs="Times New Roman"/>
                <w:sz w:val="24"/>
                <w:szCs w:val="24"/>
                <w:lang w:eastAsia="bg-BG"/>
              </w:rPr>
              <w:t xml:space="preserve"> </w:t>
            </w:r>
            <w:r w:rsidRPr="004A24F1">
              <w:rPr>
                <w:rFonts w:ascii="Times New Roman" w:eastAsia="Times New Roman" w:hAnsi="Times New Roman" w:cs="Times New Roman"/>
                <w:color w:val="000000"/>
                <w:sz w:val="24"/>
                <w:szCs w:val="24"/>
                <w:lang w:eastAsia="bg-BG"/>
              </w:rPr>
              <w:t>от настоящите Условия за кандидатстване.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Преди сключване на административния договор декларираните обстоятелства се доказват и се извършва проверка от ДФЗ-РА, относно същите: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ЗЕУ. </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б) с декларация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3. </w:t>
            </w:r>
            <w:r w:rsidRPr="004A24F1">
              <w:rPr>
                <w:rFonts w:ascii="Times New Roman" w:hAnsi="Times New Roman" w:cs="Times New Roman"/>
                <w:sz w:val="24"/>
                <w:szCs w:val="24"/>
              </w:rPr>
              <w:t xml:space="preserve">Не се дава предимство, а даденото предимство се отнема, когато ДФЗ-РА или друг компетентен орган установи, че кандидатът/бенефициента е създал </w:t>
            </w:r>
            <w:r w:rsidRPr="004A24F1">
              <w:rPr>
                <w:rFonts w:ascii="Times New Roman" w:hAnsi="Times New Roman" w:cs="Times New Roman"/>
                <w:sz w:val="24"/>
                <w:szCs w:val="24"/>
                <w:bdr w:val="none" w:sz="0" w:space="0" w:color="auto" w:frame="1"/>
                <w:shd w:val="clear" w:color="auto" w:fill="FFFFFF"/>
              </w:rPr>
              <w:t>изкуствено</w:t>
            </w:r>
            <w:r w:rsidRPr="004A24F1">
              <w:rPr>
                <w:rFonts w:ascii="Times New Roman" w:hAnsi="Times New Roman" w:cs="Times New Roman"/>
                <w:sz w:val="24"/>
                <w:szCs w:val="24"/>
              </w:rPr>
              <w:t xml:space="preserve">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w:t>
            </w:r>
          </w:p>
          <w:p w:rsidR="004E655E" w:rsidRPr="004A24F1" w:rsidRDefault="004E655E" w:rsidP="001163C1">
            <w:pPr>
              <w:rPr>
                <w:sz w:val="24"/>
                <w:szCs w:val="24"/>
              </w:rPr>
            </w:pPr>
          </w:p>
        </w:tc>
      </w:tr>
    </w:tbl>
    <w:p w:rsidR="004E655E" w:rsidRPr="001309B9" w:rsidRDefault="004E655E" w:rsidP="004E655E">
      <w:pPr>
        <w:pStyle w:val="1"/>
        <w:rPr>
          <w:sz w:val="22"/>
          <w:szCs w:val="22"/>
        </w:rPr>
      </w:pPr>
      <w:bookmarkStart w:id="15" w:name="_Toc505614650"/>
      <w:r w:rsidRPr="001309B9">
        <w:rPr>
          <w:sz w:val="22"/>
          <w:szCs w:val="22"/>
        </w:rPr>
        <w:lastRenderedPageBreak/>
        <w:t>12. Допустими партньори:</w:t>
      </w:r>
      <w:bookmarkEnd w:id="15"/>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Неприложимо</w:t>
            </w:r>
          </w:p>
        </w:tc>
      </w:tr>
    </w:tbl>
    <w:p w:rsidR="004E655E" w:rsidRPr="001309B9" w:rsidRDefault="004E655E" w:rsidP="004E655E">
      <w:pPr>
        <w:pStyle w:val="1"/>
        <w:rPr>
          <w:sz w:val="22"/>
          <w:szCs w:val="22"/>
        </w:rPr>
      </w:pPr>
      <w:bookmarkStart w:id="16" w:name="_Toc505614651"/>
      <w:r w:rsidRPr="001309B9">
        <w:rPr>
          <w:sz w:val="22"/>
          <w:szCs w:val="22"/>
        </w:rPr>
        <w:t>13. Дейности, допустими за финансиране:</w:t>
      </w:r>
      <w:bookmarkEnd w:id="16"/>
    </w:p>
    <w:p w:rsidR="004E655E" w:rsidRDefault="004E655E" w:rsidP="004E655E">
      <w:pPr>
        <w:rPr>
          <w:rFonts w:ascii="Times New Roman" w:hAnsi="Times New Roman" w:cs="Times New Roman"/>
          <w:b/>
        </w:rPr>
      </w:pPr>
      <w:r w:rsidRPr="001309B9">
        <w:rPr>
          <w:rFonts w:ascii="Times New Roman" w:hAnsi="Times New Roman" w:cs="Times New Roman"/>
          <w:b/>
        </w:rPr>
        <w:t>13.1. Допустими дейности:</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lang w:val="en-US"/>
              </w:rPr>
              <w:t>I</w:t>
            </w:r>
            <w:r w:rsidRPr="004A24F1">
              <w:rPr>
                <w:rFonts w:ascii="Times New Roman" w:hAnsi="Times New Roman" w:cs="Times New Roman"/>
                <w:sz w:val="24"/>
                <w:szCs w:val="24"/>
                <w:lang w:val="ru-RU"/>
              </w:rPr>
              <w:t xml:space="preserve">. </w:t>
            </w:r>
            <w:r w:rsidRPr="004A24F1">
              <w:rPr>
                <w:rFonts w:ascii="Times New Roman" w:hAnsi="Times New Roman" w:cs="Times New Roman"/>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lastRenderedPageBreak/>
              <w:t>1. Дейност Строителство, реконструкция и/или рехабилитация на нови и съществуващи общински пътища, улици, тротоари;</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2. Дейност Изграждане, реконструкция и/или рехабилитация на водоснабдителни системи и съоръжения в агломерации с под 2 000 е.ж. в селските райони;</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3. Дейност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4.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5. Дейност 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6.Изграждане, реконструкция, ремонт, оборудване и/или обзавеждане на спортна инфраструктура;</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7. Дейност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8. Дейност Реконструкция, ремонт, оборудване и/или обзавеждане на общинска образователна инфраструктура с местно значение в селските райони.</w:t>
            </w:r>
          </w:p>
        </w:tc>
      </w:tr>
    </w:tbl>
    <w:p w:rsidR="004E655E" w:rsidRDefault="004E655E" w:rsidP="004E655E">
      <w:pPr>
        <w:rPr>
          <w:rFonts w:ascii="Times New Roman" w:hAnsi="Times New Roman" w:cs="Times New Roman"/>
          <w:b/>
        </w:rPr>
      </w:pPr>
    </w:p>
    <w:p w:rsidR="004E655E" w:rsidRDefault="004E655E" w:rsidP="004E655E">
      <w:pPr>
        <w:rPr>
          <w:rFonts w:ascii="Times New Roman" w:hAnsi="Times New Roman" w:cs="Times New Roman"/>
          <w:b/>
        </w:rPr>
      </w:pPr>
      <w:r>
        <w:rPr>
          <w:rFonts w:ascii="Times New Roman" w:hAnsi="Times New Roman" w:cs="Times New Roman"/>
          <w:b/>
        </w:rPr>
        <w:t>13. 2. Условия за допустимост на дейностите:</w:t>
      </w:r>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4A24F1" w:rsidRDefault="004E655E" w:rsidP="001163C1">
            <w:pPr>
              <w:rPr>
                <w:rFonts w:ascii="Times New Roman" w:hAnsi="Times New Roman" w:cs="Times New Roman"/>
                <w:b/>
                <w:sz w:val="24"/>
                <w:szCs w:val="24"/>
              </w:rPr>
            </w:pPr>
            <w:r w:rsidRPr="004A24F1">
              <w:rPr>
                <w:rFonts w:ascii="Times New Roman" w:hAnsi="Times New Roman" w:cs="Times New Roman"/>
                <w:b/>
                <w:sz w:val="24"/>
                <w:szCs w:val="24"/>
                <w:lang w:val="en-US"/>
              </w:rPr>
              <w:t>I</w:t>
            </w:r>
            <w:r w:rsidRPr="004A24F1">
              <w:rPr>
                <w:rFonts w:ascii="Times New Roman" w:hAnsi="Times New Roman" w:cs="Times New Roman"/>
                <w:b/>
                <w:sz w:val="24"/>
                <w:szCs w:val="24"/>
              </w:rPr>
              <w:t>.Общи изисквания към СВОМР:</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1. Подпомагат се проекти, които се осъществяват на територията на община Чирпан.</w:t>
            </w:r>
          </w:p>
          <w:p w:rsidR="004E655E" w:rsidRPr="004A24F1" w:rsidRDefault="004E655E" w:rsidP="001163C1">
            <w:pPr>
              <w:rPr>
                <w:rFonts w:ascii="Times New Roman" w:eastAsia="Times New Roman" w:hAnsi="Times New Roman" w:cs="Times New Roman"/>
                <w:color w:val="000000"/>
                <w:sz w:val="24"/>
                <w:szCs w:val="24"/>
                <w:lang w:eastAsia="bg-BG"/>
              </w:rPr>
            </w:pPr>
            <w:r w:rsidRPr="004A24F1">
              <w:rPr>
                <w:rFonts w:ascii="Times New Roman" w:hAnsi="Times New Roman" w:cs="Times New Roman"/>
                <w:sz w:val="24"/>
                <w:szCs w:val="24"/>
              </w:rPr>
              <w:t xml:space="preserve">2. </w:t>
            </w:r>
            <w:r w:rsidRPr="004A24F1">
              <w:rPr>
                <w:rFonts w:ascii="Times New Roman" w:eastAsia="Times New Roman" w:hAnsi="Times New Roman" w:cs="Times New Roman"/>
                <w:color w:val="000000"/>
                <w:sz w:val="24"/>
                <w:szCs w:val="24"/>
                <w:lang w:eastAsia="bg-BG"/>
              </w:rPr>
              <w:t>Проектите се подпомагат, ако:</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2.1.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2.2.При наличие на одобрена стратегия за ВОМР дейността включена в проекта с която ще се кандидатства по тези условия за кандидатстване е съгласувана с Председателя на колективния управителен орган на МИГ за което се представя декларация от Председателя на колективния управителен орган на МИГ , че съответства на стратегията.</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lastRenderedPageBreak/>
              <w:t xml:space="preserve">3. Подпомагат се проекти, за които са проведени съгласувателните процедури по реда на </w:t>
            </w:r>
            <w:hyperlink r:id="rId22" w:history="1">
              <w:r w:rsidRPr="004A24F1">
                <w:rPr>
                  <w:rFonts w:ascii="Times New Roman" w:eastAsia="Times New Roman" w:hAnsi="Times New Roman" w:cs="Times New Roman"/>
                  <w:color w:val="000000"/>
                  <w:sz w:val="24"/>
                  <w:szCs w:val="24"/>
                  <w:lang w:eastAsia="bg-BG"/>
                </w:rPr>
                <w:t>Закона за опазване на околната среда</w:t>
              </w:r>
            </w:hyperlink>
            <w:r w:rsidRPr="004A24F1">
              <w:rPr>
                <w:rFonts w:ascii="Times New Roman" w:eastAsia="Times New Roman" w:hAnsi="Times New Roman" w:cs="Times New Roman"/>
                <w:color w:val="000000"/>
                <w:sz w:val="24"/>
                <w:szCs w:val="24"/>
                <w:lang w:eastAsia="bg-BG"/>
              </w:rPr>
              <w:t xml:space="preserve">, </w:t>
            </w:r>
            <w:hyperlink r:id="rId23" w:history="1">
              <w:r w:rsidRPr="004A24F1">
                <w:rPr>
                  <w:rFonts w:ascii="Times New Roman" w:eastAsia="Times New Roman" w:hAnsi="Times New Roman" w:cs="Times New Roman"/>
                  <w:color w:val="000000"/>
                  <w:sz w:val="24"/>
                  <w:szCs w:val="24"/>
                  <w:lang w:eastAsia="bg-BG"/>
                </w:rPr>
                <w:t>Закона за защитените територии</w:t>
              </w:r>
            </w:hyperlink>
            <w:r w:rsidRPr="004A24F1">
              <w:rPr>
                <w:rFonts w:ascii="Times New Roman" w:eastAsia="Times New Roman" w:hAnsi="Times New Roman" w:cs="Times New Roman"/>
                <w:color w:val="000000"/>
                <w:sz w:val="24"/>
                <w:szCs w:val="24"/>
                <w:lang w:eastAsia="bg-BG"/>
              </w:rPr>
              <w:t xml:space="preserve"> и/или </w:t>
            </w:r>
            <w:hyperlink r:id="rId24" w:history="1">
              <w:r w:rsidRPr="004A24F1">
                <w:rPr>
                  <w:rFonts w:ascii="Times New Roman" w:eastAsia="Times New Roman" w:hAnsi="Times New Roman" w:cs="Times New Roman"/>
                  <w:color w:val="000000"/>
                  <w:sz w:val="24"/>
                  <w:szCs w:val="24"/>
                  <w:lang w:eastAsia="bg-BG"/>
                </w:rPr>
                <w:t>Закона за биологичното разнообразие</w:t>
              </w:r>
            </w:hyperlink>
            <w:r w:rsidRPr="004A24F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25" w:history="1">
              <w:r w:rsidRPr="004A24F1">
                <w:rPr>
                  <w:rFonts w:ascii="Times New Roman" w:eastAsia="Times New Roman" w:hAnsi="Times New Roman" w:cs="Times New Roman"/>
                  <w:color w:val="000000"/>
                  <w:sz w:val="24"/>
                  <w:szCs w:val="24"/>
                  <w:lang w:eastAsia="bg-BG"/>
                </w:rPr>
                <w:t>Закона за културното наследство</w:t>
              </w:r>
            </w:hyperlink>
            <w:r w:rsidRPr="004A24F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 xml:space="preserve">4. Подпомагат се проекти, които съдържат анализ за социални-икономическите ползи за развитието на селския район </w:t>
            </w:r>
            <w:r w:rsidRPr="004A24F1">
              <w:rPr>
                <w:rFonts w:ascii="Times New Roman" w:hAnsi="Times New Roman" w:cs="Times New Roman"/>
                <w:sz w:val="24"/>
                <w:szCs w:val="24"/>
              </w:rPr>
              <w:t>и устойчивостта</w:t>
            </w:r>
            <w:r w:rsidRPr="004A24F1">
              <w:rPr>
                <w:rFonts w:ascii="Times New Roman" w:eastAsia="Times New Roman" w:hAnsi="Times New Roman" w:cs="Times New Roman"/>
                <w:color w:val="000000"/>
                <w:sz w:val="24"/>
                <w:szCs w:val="24"/>
                <w:lang w:eastAsia="bg-BG"/>
              </w:rPr>
              <w:t xml:space="preserve"> на инвестицията, съгласно </w:t>
            </w:r>
            <w:r w:rsidRPr="00054AD8">
              <w:rPr>
                <w:rFonts w:ascii="Times New Roman" w:eastAsia="Times New Roman" w:hAnsi="Times New Roman" w:cs="Times New Roman"/>
                <w:i/>
                <w:sz w:val="24"/>
                <w:szCs w:val="24"/>
                <w:lang w:eastAsia="bg-BG"/>
              </w:rPr>
              <w:t xml:space="preserve">Приложение № </w:t>
            </w:r>
            <w:r w:rsidR="00054AD8" w:rsidRPr="00730F4A">
              <w:rPr>
                <w:rFonts w:ascii="Times New Roman" w:eastAsia="Times New Roman" w:hAnsi="Times New Roman" w:cs="Times New Roman"/>
                <w:i/>
                <w:sz w:val="24"/>
                <w:szCs w:val="24"/>
                <w:lang w:val="ru-RU" w:eastAsia="bg-BG"/>
              </w:rPr>
              <w:t>9</w:t>
            </w:r>
            <w:r w:rsidR="00987A5E" w:rsidRPr="00054AD8">
              <w:rPr>
                <w:i/>
              </w:rPr>
              <w:t xml:space="preserve"> </w:t>
            </w:r>
            <w:r w:rsidR="00987A5E" w:rsidRPr="00054AD8">
              <w:rPr>
                <w:rFonts w:ascii="Times New Roman" w:eastAsia="Times New Roman" w:hAnsi="Times New Roman" w:cs="Times New Roman"/>
                <w:i/>
                <w:color w:val="000000"/>
                <w:sz w:val="24"/>
                <w:szCs w:val="24"/>
                <w:lang w:eastAsia="bg-BG"/>
              </w:rPr>
              <w:t>от Документи за попълване към Условия за кандидатстване</w:t>
            </w:r>
            <w:r w:rsidR="00987A5E">
              <w:rPr>
                <w:rFonts w:ascii="Times New Roman" w:eastAsia="Times New Roman" w:hAnsi="Times New Roman" w:cs="Times New Roman"/>
                <w:sz w:val="24"/>
                <w:szCs w:val="24"/>
                <w:lang w:eastAsia="bg-BG"/>
              </w:rPr>
              <w:t xml:space="preserve"> </w:t>
            </w:r>
            <w:r w:rsidRPr="004A24F1">
              <w:rPr>
                <w:rFonts w:ascii="Times New Roman" w:eastAsia="Times New Roman" w:hAnsi="Times New Roman" w:cs="Times New Roman"/>
                <w:color w:val="FF0000"/>
                <w:sz w:val="24"/>
                <w:szCs w:val="24"/>
                <w:lang w:eastAsia="bg-BG"/>
              </w:rPr>
              <w:t xml:space="preserve">. </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5. </w:t>
            </w:r>
            <w:r w:rsidRPr="004A24F1">
              <w:rPr>
                <w:rFonts w:ascii="Times New Roman" w:hAnsi="Times New Roman" w:cs="Times New Roman"/>
                <w:sz w:val="24"/>
                <w:szCs w:val="24"/>
              </w:rPr>
              <w:t xml:space="preserve">Проектите се изпълняват върху имот – собственост на кандидата, или нает за  не по- малко от 6 години. </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6. Към проектите, включващи разходи за строително-монтажни работи, се прилагат: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в) подробни количествени сметки, които са заверени от правоспособно лице;</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г) разрешение за строеж, когато издаването му се изисква съгласно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е) подробни количествено-стойностни сметки.</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7.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8. Към проектите, включващи разходи за строително-монтажни работи, когато обектите са недвижими културни ценности, се прилагат:</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lastRenderedPageBreak/>
              <w:t>а) документите по т. 6, букви „б”, „в”, „г” и „е”;</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color w:val="000000"/>
                <w:sz w:val="24"/>
                <w:szCs w:val="24"/>
                <w:lang w:eastAsia="bg-BG"/>
              </w:rPr>
              <w:t xml:space="preserve">9. </w:t>
            </w:r>
            <w:r w:rsidRPr="004A24F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10. </w:t>
            </w:r>
            <w:r w:rsidRPr="004A24F1">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rPr>
            </w:pPr>
            <w:r w:rsidRPr="004A24F1">
              <w:rPr>
                <w:rFonts w:ascii="Times New Roman" w:hAnsi="Times New Roman" w:cs="Times New Roman"/>
                <w:sz w:val="24"/>
                <w:szCs w:val="24"/>
              </w:rPr>
              <w:t>11.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4E655E" w:rsidRPr="004A24F1" w:rsidRDefault="004E655E" w:rsidP="001163C1">
            <w:pPr>
              <w:widowControl w:val="0"/>
              <w:autoSpaceDE w:val="0"/>
              <w:autoSpaceDN w:val="0"/>
              <w:adjustRightInd w:val="0"/>
              <w:jc w:val="both"/>
              <w:rPr>
                <w:rFonts w:ascii="Times New Roman" w:hAnsi="Times New Roman" w:cs="Times New Roman"/>
                <w:b/>
                <w:sz w:val="24"/>
                <w:szCs w:val="24"/>
              </w:rPr>
            </w:pPr>
            <w:r w:rsidRPr="004A24F1">
              <w:rPr>
                <w:rFonts w:ascii="Times New Roman" w:hAnsi="Times New Roman" w:cs="Times New Roman"/>
                <w:b/>
                <w:sz w:val="24"/>
                <w:szCs w:val="24"/>
                <w:lang w:val="en-US"/>
              </w:rPr>
              <w:t>II</w:t>
            </w:r>
            <w:r w:rsidRPr="004A24F1">
              <w:rPr>
                <w:rFonts w:ascii="Times New Roman" w:hAnsi="Times New Roman" w:cs="Times New Roman"/>
                <w:b/>
                <w:sz w:val="24"/>
                <w:szCs w:val="24"/>
              </w:rPr>
              <w:t>.Специални изисквания:</w:t>
            </w:r>
          </w:p>
          <w:p w:rsidR="004E655E" w:rsidRPr="004A24F1" w:rsidRDefault="004E655E" w:rsidP="001163C1">
            <w:pPr>
              <w:keepNext/>
              <w:keepLines/>
              <w:contextualSpacing/>
              <w:jc w:val="both"/>
              <w:rPr>
                <w:rFonts w:ascii="Times New Roman" w:hAnsi="Times New Roman" w:cs="Times New Roman"/>
                <w:b/>
                <w:sz w:val="24"/>
                <w:szCs w:val="24"/>
              </w:rPr>
            </w:pPr>
            <w:r w:rsidRPr="004A24F1">
              <w:rPr>
                <w:rFonts w:ascii="Times New Roman" w:hAnsi="Times New Roman" w:cs="Times New Roman"/>
                <w:b/>
                <w:sz w:val="24"/>
                <w:szCs w:val="24"/>
              </w:rPr>
              <w:t>1.Изисквания към проекти по дейност Строителство, реконструкция и/или рехабилитация на нови и съществуващи общински пътища, улици, тротоари;:</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1.1.Подпомагат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 договор.</w:t>
            </w:r>
          </w:p>
          <w:p w:rsidR="004E655E" w:rsidRPr="004A24F1" w:rsidRDefault="004E655E" w:rsidP="001163C1">
            <w:pPr>
              <w:keepNext/>
              <w:keepLines/>
              <w:contextualSpacing/>
              <w:jc w:val="both"/>
              <w:rPr>
                <w:rFonts w:ascii="Times New Roman" w:hAnsi="Times New Roman" w:cs="Times New Roman"/>
                <w:b/>
                <w:sz w:val="24"/>
                <w:szCs w:val="24"/>
              </w:rPr>
            </w:pPr>
            <w:r w:rsidRPr="004A24F1">
              <w:rPr>
                <w:rFonts w:ascii="Times New Roman" w:hAnsi="Times New Roman" w:cs="Times New Roman"/>
                <w:b/>
                <w:sz w:val="24"/>
                <w:szCs w:val="24"/>
              </w:rPr>
              <w:lastRenderedPageBreak/>
              <w:t>2.</w:t>
            </w:r>
            <w:r w:rsidRPr="004A24F1">
              <w:rPr>
                <w:rFonts w:ascii="Times New Roman" w:eastAsia="Times New Roman" w:hAnsi="Times New Roman" w:cs="Times New Roman"/>
                <w:b/>
                <w:color w:val="000000"/>
                <w:sz w:val="24"/>
                <w:szCs w:val="24"/>
                <w:lang w:eastAsia="bg-BG"/>
              </w:rPr>
              <w:t>Изисквания към проекти по дейността и</w:t>
            </w:r>
            <w:r w:rsidRPr="004A24F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hAnsi="Times New Roman" w:cs="Times New Roman"/>
                <w:sz w:val="24"/>
                <w:szCs w:val="24"/>
              </w:rPr>
              <w:t xml:space="preserve">2.1. </w:t>
            </w:r>
            <w:r w:rsidRPr="004A24F1">
              <w:rPr>
                <w:rFonts w:ascii="Times New Roman" w:eastAsia="Times New Roman" w:hAnsi="Times New Roman" w:cs="Times New Roman"/>
                <w:color w:val="000000"/>
                <w:sz w:val="24"/>
                <w:szCs w:val="24"/>
                <w:lang w:eastAsia="bg-BG"/>
              </w:rPr>
              <w:t>Подпомагат се проекти, като в един проект могат да се включват обекти в не повече от четири населени места.</w:t>
            </w:r>
          </w:p>
          <w:p w:rsidR="004E655E" w:rsidRPr="004A24F1" w:rsidRDefault="004E655E" w:rsidP="001163C1">
            <w:pPr>
              <w:tabs>
                <w:tab w:val="left" w:pos="2175"/>
                <w:tab w:val="left" w:pos="6120"/>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 Подпомагат се проекти за изграждане и/или обновяване на паркове и градини, за които са представени:</w:t>
            </w:r>
          </w:p>
          <w:p w:rsidR="004E655E" w:rsidRPr="004A24F1" w:rsidRDefault="004E655E" w:rsidP="001163C1">
            <w:pPr>
              <w:tabs>
                <w:tab w:val="left" w:pos="2175"/>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4E655E" w:rsidRPr="004A24F1" w:rsidRDefault="004E655E" w:rsidP="001163C1">
            <w:pPr>
              <w:tabs>
                <w:tab w:val="left" w:pos="2175"/>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2.2.2. план схема за разполагане на преместваеми обекти и съоръжения (представя се ако има такива обекти).</w:t>
            </w:r>
          </w:p>
          <w:p w:rsidR="004E655E" w:rsidRPr="004A24F1" w:rsidRDefault="004E655E" w:rsidP="001163C1">
            <w:pPr>
              <w:tabs>
                <w:tab w:val="left" w:pos="2175"/>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2.2.3.в проектите може да е предвидено изграждане и /или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4E655E" w:rsidRPr="004A24F1" w:rsidRDefault="004E655E" w:rsidP="001163C1">
            <w:pPr>
              <w:jc w:val="both"/>
              <w:rPr>
                <w:rFonts w:ascii="Times New Roman" w:eastAsia="Times New Roman" w:hAnsi="Times New Roman" w:cs="Times New Roman"/>
                <w:b/>
                <w:color w:val="000000"/>
                <w:sz w:val="24"/>
                <w:szCs w:val="24"/>
                <w:lang w:val="ru-RU" w:eastAsia="bg-BG"/>
              </w:rPr>
            </w:pPr>
            <w:r w:rsidRPr="004A24F1">
              <w:rPr>
                <w:rFonts w:ascii="Times New Roman" w:eastAsia="Times New Roman" w:hAnsi="Times New Roman" w:cs="Times New Roman"/>
                <w:b/>
                <w:color w:val="000000"/>
                <w:sz w:val="24"/>
                <w:szCs w:val="24"/>
                <w:lang w:val="ru-RU" w:eastAsia="bg-BG"/>
              </w:rPr>
              <w:t xml:space="preserve">3. </w:t>
            </w:r>
            <w:r w:rsidRPr="004A24F1">
              <w:rPr>
                <w:rFonts w:ascii="Times New Roman" w:eastAsia="Times New Roman" w:hAnsi="Times New Roman" w:cs="Times New Roman"/>
                <w:b/>
                <w:color w:val="000000"/>
                <w:sz w:val="24"/>
                <w:szCs w:val="24"/>
                <w:lang w:eastAsia="bg-BG"/>
              </w:rPr>
              <w:t>Изисквания към проекти по дейността</w:t>
            </w:r>
            <w:r w:rsidRPr="004A24F1">
              <w:rPr>
                <w:rFonts w:ascii="Times New Roman" w:hAnsi="Times New Roman" w:cs="Times New Roman"/>
                <w:b/>
                <w:sz w:val="24"/>
                <w:szCs w:val="24"/>
              </w:rPr>
              <w:t xml:space="preserve"> реконструкция, ремонт на общински сгради, в които се предоставят обществени услуги, с цел подобряване на тяхната енергийна ефективност:</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hAnsi="Times New Roman" w:cs="Times New Roman"/>
                <w:sz w:val="24"/>
                <w:szCs w:val="24"/>
              </w:rPr>
              <w:t xml:space="preserve">3.1. </w:t>
            </w:r>
            <w:r w:rsidRPr="004A24F1">
              <w:rPr>
                <w:rFonts w:ascii="Times New Roman" w:eastAsia="Times New Roman" w:hAnsi="Times New Roman" w:cs="Times New Roman"/>
                <w:color w:val="000000"/>
                <w:sz w:val="24"/>
                <w:szCs w:val="24"/>
                <w:lang w:eastAsia="bg-BG"/>
              </w:rPr>
              <w:t>Подпомагат се проекти, за които са представени:</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3.1.1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r w:rsidRPr="004A24F1">
              <w:rPr>
                <w:rFonts w:ascii="Times New Roman" w:eastAsia="Times New Roman" w:hAnsi="Times New Roman" w:cs="Times New Roman"/>
                <w:color w:val="000000"/>
                <w:sz w:val="24"/>
                <w:szCs w:val="24"/>
                <w:lang w:val="ru-RU" w:eastAsia="bg-BG"/>
              </w:rPr>
              <w:t>.</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 xml:space="preserve">3.1.2.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26" w:history="1">
              <w:r w:rsidRPr="004A24F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4A24F1">
              <w:rPr>
                <w:rFonts w:ascii="Times New Roman" w:eastAsia="Times New Roman" w:hAnsi="Times New Roman" w:cs="Times New Roman"/>
                <w:color w:val="000000"/>
                <w:sz w:val="24"/>
                <w:szCs w:val="24"/>
                <w:lang w:eastAsia="bg-BG"/>
              </w:rPr>
              <w:t xml:space="preserve"> (ДВ, бр. 10 от 2016 г.)</w:t>
            </w:r>
            <w:r w:rsidRPr="004A24F1">
              <w:rPr>
                <w:rFonts w:ascii="Times New Roman" w:eastAsia="Times New Roman" w:hAnsi="Times New Roman" w:cs="Times New Roman"/>
                <w:color w:val="000000"/>
                <w:sz w:val="24"/>
                <w:szCs w:val="24"/>
                <w:lang w:val="ru-RU" w:eastAsia="bg-BG"/>
              </w:rPr>
              <w:t>.</w:t>
            </w:r>
          </w:p>
          <w:p w:rsidR="004E655E" w:rsidRPr="004A24F1" w:rsidRDefault="004E655E" w:rsidP="001163C1">
            <w:pPr>
              <w:jc w:val="both"/>
              <w:rPr>
                <w:rFonts w:ascii="Times New Roman" w:eastAsia="Times New Roman" w:hAnsi="Times New Roman" w:cs="Times New Roman"/>
                <w:b/>
                <w:bCs/>
                <w:sz w:val="24"/>
                <w:szCs w:val="24"/>
                <w:lang w:val="ru-RU" w:eastAsia="bg-BG"/>
              </w:rPr>
            </w:pPr>
            <w:r w:rsidRPr="004A24F1">
              <w:rPr>
                <w:rFonts w:ascii="Times New Roman" w:eastAsia="Times New Roman" w:hAnsi="Times New Roman" w:cs="Times New Roman"/>
                <w:b/>
                <w:color w:val="000000"/>
                <w:sz w:val="24"/>
                <w:szCs w:val="24"/>
                <w:lang w:val="ru-RU" w:eastAsia="bg-BG"/>
              </w:rPr>
              <w:t xml:space="preserve">4. </w:t>
            </w:r>
            <w:r w:rsidRPr="004A24F1">
              <w:rPr>
                <w:rFonts w:ascii="Times New Roman" w:eastAsia="Times New Roman" w:hAnsi="Times New Roman" w:cs="Times New Roman"/>
                <w:b/>
                <w:color w:val="000000"/>
                <w:sz w:val="24"/>
                <w:szCs w:val="24"/>
                <w:lang w:eastAsia="bg-BG"/>
              </w:rPr>
              <w:t xml:space="preserve">Изисквания към проекти по дейността </w:t>
            </w:r>
            <w:r w:rsidRPr="004A24F1">
              <w:rPr>
                <w:rFonts w:ascii="Times New Roman" w:hAnsi="Times New Roman" w:cs="Times New Roman"/>
                <w:b/>
                <w:sz w:val="24"/>
                <w:szCs w:val="24"/>
              </w:rPr>
              <w:t>и</w:t>
            </w:r>
            <w:r w:rsidRPr="004A24F1">
              <w:rPr>
                <w:rFonts w:ascii="Times New Roman" w:eastAsia="Times New Roman" w:hAnsi="Times New Roman" w:cs="Times New Roman"/>
                <w:b/>
                <w:bCs/>
                <w:sz w:val="24"/>
                <w:szCs w:val="24"/>
                <w:lang w:eastAsia="bg-BG"/>
              </w:rPr>
              <w:t xml:space="preserve">зграждане, реконструкция, ремонт, </w:t>
            </w:r>
            <w:r w:rsidRPr="004A24F1">
              <w:rPr>
                <w:rFonts w:ascii="Times New Roman" w:eastAsia="Times New Roman" w:hAnsi="Times New Roman" w:cs="Times New Roman"/>
                <w:b/>
                <w:bCs/>
                <w:sz w:val="24"/>
                <w:szCs w:val="24"/>
                <w:lang w:eastAsia="bg-BG"/>
              </w:rPr>
              <w:lastRenderedPageBreak/>
              <w:t>оборудване и/или обзавеждане на спортна инфраструктура</w:t>
            </w:r>
            <w:r w:rsidRPr="004A24F1">
              <w:rPr>
                <w:rFonts w:ascii="Times New Roman" w:eastAsia="Times New Roman" w:hAnsi="Times New Roman" w:cs="Times New Roman"/>
                <w:b/>
                <w:bCs/>
                <w:sz w:val="24"/>
                <w:szCs w:val="24"/>
                <w:lang w:val="ru-RU" w:eastAsia="bg-BG"/>
              </w:rPr>
              <w:t>:</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val="ru-RU" w:eastAsia="bg-BG"/>
              </w:rPr>
              <w:t xml:space="preserve">1. </w:t>
            </w:r>
            <w:r w:rsidRPr="004A24F1">
              <w:rPr>
                <w:rFonts w:ascii="Times New Roman" w:eastAsia="Times New Roman" w:hAnsi="Times New Roman" w:cs="Times New Roman"/>
                <w:color w:val="000000"/>
                <w:sz w:val="24"/>
                <w:szCs w:val="24"/>
                <w:lang w:eastAsia="bg-BG"/>
              </w:rPr>
              <w:t>Подпомагат се проекти, като в един проект могат да се включват не повече от два обекта.</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val="ru-RU" w:eastAsia="bg-BG"/>
              </w:rPr>
              <w:t>5.</w:t>
            </w:r>
            <w:r w:rsidRPr="004A24F1">
              <w:rPr>
                <w:rFonts w:ascii="Times New Roman" w:eastAsia="Times New Roman" w:hAnsi="Times New Roman" w:cs="Times New Roman"/>
                <w:b/>
                <w:color w:val="FF0000"/>
                <w:sz w:val="24"/>
                <w:szCs w:val="24"/>
                <w:lang w:eastAsia="bg-BG"/>
              </w:rPr>
              <w:t xml:space="preserve"> </w:t>
            </w:r>
            <w:r w:rsidRPr="004A24F1">
              <w:rPr>
                <w:rFonts w:ascii="Times New Roman" w:eastAsia="Times New Roman" w:hAnsi="Times New Roman" w:cs="Times New Roman"/>
                <w:b/>
                <w:color w:val="000000"/>
                <w:sz w:val="24"/>
                <w:szCs w:val="24"/>
                <w:lang w:eastAsia="bg-BG"/>
              </w:rPr>
              <w:t>Изисквания към проектите по дейността реконструкция, ремонт, оборудване и/или обзавеждане на общинска образователна инфраструктура с местно значение в селските райони.</w:t>
            </w:r>
          </w:p>
          <w:p w:rsidR="004E655E" w:rsidRPr="004A24F1" w:rsidRDefault="004E655E" w:rsidP="001163C1">
            <w:pPr>
              <w:jc w:val="both"/>
              <w:rPr>
                <w:rFonts w:ascii="Times New Roman" w:hAnsi="Times New Roman" w:cs="Times New Roman"/>
                <w:sz w:val="24"/>
                <w:szCs w:val="24"/>
              </w:rPr>
            </w:pPr>
            <w:r w:rsidRPr="004A24F1">
              <w:rPr>
                <w:rFonts w:ascii="Times New Roman" w:eastAsia="Times New Roman" w:hAnsi="Times New Roman" w:cs="Times New Roman"/>
                <w:sz w:val="24"/>
                <w:szCs w:val="24"/>
                <w:lang w:eastAsia="bg-BG"/>
              </w:rPr>
              <w:t xml:space="preserve">а)Подпомагат се проекти, като в един проект могат да се включват не повече от едно основното или средно общинско училище или професионална гимназии </w:t>
            </w:r>
            <w:r w:rsidRPr="004A24F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w:t>
            </w:r>
          </w:p>
          <w:p w:rsidR="004E655E" w:rsidRPr="004A24F1" w:rsidRDefault="004E655E" w:rsidP="001163C1">
            <w:pPr>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 xml:space="preserve">б)В един проект могат да се включват всички сгради, в които се осъществява образователният процес, а не само сградата, в която е седалището на основното или средно общинско училище или професионална гимназии по § 10 от Преходните и заключителни разпоредби на Закона за предучилищното и училищно образование. </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Не се подпомагат проекти:</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Общи изисквания:</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4A24F1">
              <w:rPr>
                <w:rFonts w:ascii="Times New Roman" w:hAnsi="Times New Roman" w:cs="Times New Roman"/>
                <w:sz w:val="24"/>
                <w:szCs w:val="24"/>
                <w:lang w:val="ru-RU"/>
              </w:rPr>
              <w:t>.</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r w:rsidRPr="004A24F1">
              <w:rPr>
                <w:rFonts w:ascii="Times New Roman" w:hAnsi="Times New Roman" w:cs="Times New Roman"/>
                <w:sz w:val="24"/>
                <w:szCs w:val="24"/>
                <w:lang w:val="ru-RU"/>
              </w:rPr>
              <w:t>.</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r w:rsidRPr="004A24F1">
              <w:rPr>
                <w:rFonts w:ascii="Times New Roman" w:hAnsi="Times New Roman" w:cs="Times New Roman"/>
                <w:sz w:val="24"/>
                <w:szCs w:val="24"/>
                <w:lang w:val="ru-RU"/>
              </w:rPr>
              <w:t>.</w:t>
            </w:r>
          </w:p>
          <w:p w:rsidR="004E655E" w:rsidRPr="004A24F1" w:rsidRDefault="004E655E" w:rsidP="001163C1">
            <w:pPr>
              <w:widowControl w:val="0"/>
              <w:autoSpaceDE w:val="0"/>
              <w:autoSpaceDN w:val="0"/>
              <w:adjustRightInd w:val="0"/>
              <w:jc w:val="both"/>
              <w:rPr>
                <w:rFonts w:ascii="Times New Roman" w:hAnsi="Times New Roman" w:cs="Times New Roman"/>
                <w:sz w:val="24"/>
                <w:szCs w:val="24"/>
                <w:lang w:val="ru-RU"/>
              </w:rPr>
            </w:pPr>
            <w:r w:rsidRPr="004A24F1">
              <w:rPr>
                <w:rFonts w:ascii="Times New Roman" w:hAnsi="Times New Roman" w:cs="Times New Roman"/>
                <w:sz w:val="24"/>
                <w:szCs w:val="24"/>
              </w:rPr>
              <w:t xml:space="preserve">4. Които след изпълнение на дейностите по проекта няма да доведат до използване на </w:t>
            </w:r>
            <w:r w:rsidRPr="004A24F1">
              <w:rPr>
                <w:rFonts w:ascii="Times New Roman" w:hAnsi="Times New Roman" w:cs="Times New Roman"/>
                <w:sz w:val="24"/>
                <w:szCs w:val="24"/>
              </w:rPr>
              <w:lastRenderedPageBreak/>
              <w:t>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4A24F1">
              <w:rPr>
                <w:rFonts w:ascii="Times New Roman" w:hAnsi="Times New Roman" w:cs="Times New Roman"/>
                <w:sz w:val="24"/>
                <w:szCs w:val="24"/>
                <w:lang w:val="ru-RU"/>
              </w:rPr>
              <w:t>.</w:t>
            </w:r>
            <w:r w:rsidRPr="004A24F1">
              <w:rPr>
                <w:rFonts w:ascii="Times New Roman" w:hAnsi="Times New Roman" w:cs="Times New Roman"/>
                <w:sz w:val="24"/>
                <w:szCs w:val="24"/>
              </w:rPr>
              <w:t xml:space="preserve"> </w:t>
            </w:r>
          </w:p>
          <w:p w:rsidR="004E655E" w:rsidRPr="004A24F1" w:rsidRDefault="004E655E" w:rsidP="001163C1">
            <w:pPr>
              <w:jc w:val="both"/>
              <w:rPr>
                <w:rFonts w:ascii="Times New Roman" w:eastAsia="Times New Roman" w:hAnsi="Times New Roman" w:cs="Times New Roman"/>
                <w:color w:val="000000"/>
                <w:sz w:val="24"/>
                <w:szCs w:val="24"/>
                <w:lang w:val="ru-RU" w:eastAsia="bg-BG"/>
              </w:rPr>
            </w:pPr>
            <w:r w:rsidRPr="004A24F1">
              <w:rPr>
                <w:rFonts w:ascii="Times New Roman" w:eastAsia="Times New Roman" w:hAnsi="Times New Roman" w:cs="Times New Roman"/>
                <w:color w:val="000000"/>
                <w:sz w:val="24"/>
                <w:szCs w:val="24"/>
                <w:lang w:eastAsia="bg-BG"/>
              </w:rPr>
              <w:t>6. Които включват инвестиции, които не отговарят на европейското и национално законодателство</w:t>
            </w:r>
            <w:r w:rsidRPr="004A24F1">
              <w:rPr>
                <w:rFonts w:ascii="Times New Roman" w:eastAsia="Times New Roman" w:hAnsi="Times New Roman" w:cs="Times New Roman"/>
                <w:color w:val="000000"/>
                <w:sz w:val="24"/>
                <w:szCs w:val="24"/>
                <w:lang w:val="ru-RU" w:eastAsia="bg-BG"/>
              </w:rPr>
              <w:t>.</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Специфични изисквания:</w:t>
            </w:r>
          </w:p>
          <w:p w:rsidR="004E655E" w:rsidRPr="004A24F1" w:rsidRDefault="004E655E" w:rsidP="001163C1">
            <w:pPr>
              <w:jc w:val="both"/>
              <w:rPr>
                <w:rFonts w:ascii="Times New Roman" w:hAnsi="Times New Roman" w:cs="Times New Roman"/>
                <w:b/>
                <w:sz w:val="24"/>
                <w:szCs w:val="24"/>
              </w:rPr>
            </w:pPr>
            <w:r w:rsidRPr="004A24F1">
              <w:rPr>
                <w:rFonts w:ascii="Times New Roman" w:eastAsia="Times New Roman" w:hAnsi="Times New Roman" w:cs="Times New Roman"/>
                <w:b/>
                <w:color w:val="000000"/>
                <w:sz w:val="24"/>
                <w:szCs w:val="24"/>
                <w:lang w:eastAsia="bg-BG"/>
              </w:rPr>
              <w:t xml:space="preserve">По дейност </w:t>
            </w:r>
            <w:r w:rsidRPr="004A24F1">
              <w:rPr>
                <w:rFonts w:ascii="Times New Roman" w:hAnsi="Times New Roman" w:cs="Times New Roman"/>
                <w:b/>
                <w:sz w:val="24"/>
                <w:szCs w:val="24"/>
              </w:rPr>
              <w:t>Строителство, реконструкция и/или рехабилитация на нови и съществуващи общински пътища, улици, тротоари;</w:t>
            </w:r>
          </w:p>
          <w:p w:rsidR="004E655E" w:rsidRPr="004A24F1" w:rsidRDefault="004E655E" w:rsidP="001163C1">
            <w:pPr>
              <w:pStyle w:val="af0"/>
              <w:keepNext/>
              <w:keepLines/>
              <w:numPr>
                <w:ilvl w:val="0"/>
                <w:numId w:val="12"/>
              </w:numPr>
              <w:jc w:val="both"/>
              <w:rPr>
                <w:color w:val="000000"/>
              </w:rPr>
            </w:pPr>
            <w:r w:rsidRPr="004A24F1">
              <w:rPr>
                <w:color w:val="000000"/>
              </w:rPr>
              <w:t>Които включват само принадлежности и съоръжения , за дейността строителство ,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По дейност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не се подпомагат проекти;</w:t>
            </w:r>
          </w:p>
          <w:p w:rsidR="004E655E" w:rsidRPr="004A24F1" w:rsidRDefault="004E655E" w:rsidP="001163C1">
            <w:pPr>
              <w:pStyle w:val="af0"/>
              <w:numPr>
                <w:ilvl w:val="0"/>
                <w:numId w:val="11"/>
              </w:numPr>
              <w:jc w:val="both"/>
            </w:pPr>
            <w:r w:rsidRPr="004A24F1">
              <w:rPr>
                <w:color w:val="000000"/>
              </w:rPr>
              <w:t>Които включват изграждане, реконструкция или ремонт на паркинг или гробищни паркове.</w:t>
            </w:r>
          </w:p>
          <w:p w:rsidR="004E655E" w:rsidRPr="004A24F1" w:rsidRDefault="004E655E" w:rsidP="001163C1">
            <w:pPr>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По дейност Реконструкция и/или ремонт на общински сгради, в които се предоставят обществени услуги, с цел подобряване на тяхната енергийна ефективност не се подпомагат проекти ;</w:t>
            </w:r>
          </w:p>
          <w:p w:rsidR="004E655E" w:rsidRPr="004A24F1" w:rsidRDefault="004E655E" w:rsidP="001163C1">
            <w:pPr>
              <w:pStyle w:val="af0"/>
              <w:keepNext/>
              <w:keepLines/>
              <w:numPr>
                <w:ilvl w:val="0"/>
                <w:numId w:val="11"/>
              </w:numPr>
              <w:jc w:val="both"/>
              <w:rPr>
                <w:rFonts w:eastAsia="MS Mincho"/>
              </w:rPr>
            </w:pPr>
            <w:r w:rsidRPr="004A24F1">
              <w:rPr>
                <w:color w:val="000000"/>
              </w:rPr>
              <w:t>Които включват само оборудване и/или обзавеждане.</w:t>
            </w:r>
          </w:p>
          <w:p w:rsidR="004E655E" w:rsidRPr="004A24F1" w:rsidRDefault="004E655E" w:rsidP="001163C1">
            <w:pPr>
              <w:keepNext/>
              <w:keepLines/>
              <w:contextualSpacing/>
              <w:jc w:val="both"/>
              <w:rPr>
                <w:rFonts w:ascii="Times New Roman" w:eastAsia="Times New Roman" w:hAnsi="Times New Roman" w:cs="Times New Roman"/>
                <w:b/>
                <w:color w:val="000000"/>
                <w:sz w:val="24"/>
                <w:szCs w:val="24"/>
                <w:lang w:eastAsia="bg-BG"/>
              </w:rPr>
            </w:pPr>
            <w:r w:rsidRPr="004A24F1">
              <w:rPr>
                <w:rFonts w:ascii="Times New Roman" w:eastAsia="Times New Roman" w:hAnsi="Times New Roman" w:cs="Times New Roman"/>
                <w:b/>
                <w:color w:val="000000"/>
                <w:sz w:val="24"/>
                <w:szCs w:val="24"/>
                <w:lang w:eastAsia="bg-BG"/>
              </w:rPr>
              <w:t>По дейност Изграждане, реконструкция, ремонт, оборудване и/или обзавеждане на спортна инфраструктура не се подпомагат проекти;</w:t>
            </w:r>
          </w:p>
          <w:p w:rsidR="004E655E" w:rsidRPr="004A24F1" w:rsidRDefault="004E655E" w:rsidP="001163C1">
            <w:pPr>
              <w:pStyle w:val="af0"/>
              <w:keepNext/>
              <w:keepLines/>
              <w:numPr>
                <w:ilvl w:val="0"/>
                <w:numId w:val="11"/>
              </w:numPr>
              <w:jc w:val="both"/>
              <w:rPr>
                <w:rFonts w:eastAsia="MS Mincho"/>
              </w:rPr>
            </w:pPr>
            <w:r w:rsidRPr="004A24F1">
              <w:rPr>
                <w:color w:val="000000"/>
              </w:rPr>
              <w:t>Които включват изграждане, реконструкция или ремонт на паркинг.</w:t>
            </w:r>
          </w:p>
          <w:p w:rsidR="004E655E" w:rsidRPr="004A24F1" w:rsidRDefault="004E655E" w:rsidP="001163C1">
            <w:pPr>
              <w:jc w:val="both"/>
              <w:rPr>
                <w:sz w:val="24"/>
                <w:szCs w:val="24"/>
              </w:rPr>
            </w:pPr>
          </w:p>
        </w:tc>
      </w:tr>
    </w:tbl>
    <w:p w:rsidR="004E655E" w:rsidRDefault="004E655E" w:rsidP="004E655E">
      <w:pPr>
        <w:rPr>
          <w:rFonts w:ascii="Times New Roman" w:hAnsi="Times New Roman" w:cs="Times New Roman"/>
          <w:b/>
        </w:rPr>
      </w:pPr>
    </w:p>
    <w:p w:rsidR="004E655E" w:rsidRPr="00AC0F06" w:rsidRDefault="004E655E" w:rsidP="004E655E">
      <w:pPr>
        <w:rPr>
          <w:rFonts w:ascii="Times New Roman" w:hAnsi="Times New Roman" w:cs="Times New Roman"/>
          <w:b/>
        </w:rPr>
      </w:pPr>
      <w:r w:rsidRPr="00AC0F06">
        <w:rPr>
          <w:rFonts w:ascii="Times New Roman" w:hAnsi="Times New Roman" w:cs="Times New Roman"/>
          <w:b/>
        </w:rPr>
        <w:t>13.3. Недопустими дейности:</w:t>
      </w:r>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val="en-US" w:eastAsia="bg-BG"/>
              </w:rPr>
              <w:t>I</w:t>
            </w:r>
            <w:r w:rsidRPr="00120378">
              <w:rPr>
                <w:rFonts w:ascii="Times New Roman" w:eastAsia="Times New Roman" w:hAnsi="Times New Roman" w:cs="Times New Roman"/>
                <w:color w:val="000000"/>
                <w:sz w:val="24"/>
                <w:szCs w:val="24"/>
                <w:lang w:val="ru-RU" w:eastAsia="bg-BG"/>
              </w:rPr>
              <w:t xml:space="preserve">. </w:t>
            </w:r>
            <w:r w:rsidRPr="00120378">
              <w:rPr>
                <w:rFonts w:ascii="Times New Roman" w:eastAsia="Times New Roman" w:hAnsi="Times New Roman" w:cs="Times New Roman"/>
                <w:color w:val="000000"/>
                <w:sz w:val="24"/>
                <w:szCs w:val="24"/>
                <w:lang w:eastAsia="bg-BG"/>
              </w:rPr>
              <w:t>Безвъзмездна финансова помощ не се предоставя:</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27" w:history="1">
              <w:r w:rsidRPr="00120378">
                <w:rPr>
                  <w:rFonts w:ascii="Times New Roman" w:eastAsia="Times New Roman" w:hAnsi="Times New Roman" w:cs="Times New Roman"/>
                  <w:color w:val="000000"/>
                  <w:sz w:val="24"/>
                  <w:szCs w:val="24"/>
                  <w:lang w:eastAsia="bg-BG"/>
                </w:rPr>
                <w:t>подмярка 4.1. „Инвестиции в земеделски стопанства“;</w:t>
              </w:r>
              <w:r w:rsidRPr="00120378">
                <w:rPr>
                  <w:rFonts w:ascii="Times New Roman" w:hAnsi="Times New Roman" w:cs="Times New Roman"/>
                  <w:sz w:val="24"/>
                  <w:szCs w:val="24"/>
                  <w:lang w:eastAsia="bg-BG"/>
                </w:rPr>
                <w:t xml:space="preserve"> </w:t>
              </w:r>
              <w:r w:rsidRPr="00120378">
                <w:rPr>
                  <w:rFonts w:ascii="Times New Roman" w:eastAsia="Times New Roman" w:hAnsi="Times New Roman" w:cs="Times New Roman"/>
                  <w:color w:val="000000"/>
                  <w:sz w:val="24"/>
                  <w:szCs w:val="24"/>
                  <w:lang w:eastAsia="bg-BG"/>
                </w:rPr>
                <w:t xml:space="preserve">подмярка 4.2. „Инвестиции в преработка/маркетинг на селскостопански продукти“; подмярка 4.1.2. „Инвестиции в земеделските стопанства по Тематичната </w:t>
              </w:r>
              <w:r w:rsidRPr="00120378">
                <w:rPr>
                  <w:rFonts w:ascii="Times New Roman" w:eastAsia="Times New Roman" w:hAnsi="Times New Roman" w:cs="Times New Roman"/>
                  <w:color w:val="000000"/>
                  <w:sz w:val="24"/>
                  <w:szCs w:val="24"/>
                  <w:lang w:eastAsia="bg-BG"/>
                </w:rPr>
                <w:lastRenderedPageBreak/>
                <w:t>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120378">
                <w:rPr>
                  <w:rFonts w:ascii="Times New Roman" w:hAnsi="Times New Roman" w:cs="Times New Roman"/>
                  <w:sz w:val="24"/>
                  <w:szCs w:val="24"/>
                  <w:lang w:eastAsia="bg-BG"/>
                </w:rPr>
                <w:t xml:space="preserve"> </w:t>
              </w:r>
              <w:r w:rsidRPr="00120378">
                <w:rPr>
                  <w:rFonts w:ascii="Times New Roman" w:eastAsia="Times New Roman" w:hAnsi="Times New Roman" w:cs="Times New Roman"/>
                  <w:color w:val="000000"/>
                  <w:sz w:val="24"/>
                  <w:szCs w:val="24"/>
                  <w:lang w:eastAsia="bg-BG"/>
                </w:rPr>
                <w:t xml:space="preserve">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w:t>
              </w:r>
            </w:hyperlink>
            <w:r w:rsidRPr="00120378">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2. За дейности в сгради за здравеопазване;</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 xml:space="preserve">3.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4. За дейности за реконструкция, ремонт, оборудване и/или обзавеждане на общинска образователна инфраструктура, които са финансирани по Оперативна програма „Наука и образование за интелигентен растеж“;</w:t>
            </w:r>
          </w:p>
          <w:p w:rsidR="004E655E" w:rsidRPr="00120378" w:rsidRDefault="004E655E" w:rsidP="001163C1">
            <w:pPr>
              <w:jc w:val="both"/>
              <w:rPr>
                <w:rFonts w:ascii="Times New Roman" w:eastAsia="Times New Roman" w:hAnsi="Times New Roman" w:cs="Times New Roman"/>
                <w:color w:val="000000"/>
                <w:sz w:val="24"/>
                <w:szCs w:val="24"/>
                <w:lang w:eastAsia="bg-BG"/>
              </w:rPr>
            </w:pPr>
            <w:r w:rsidRPr="00120378">
              <w:rPr>
                <w:rFonts w:ascii="Times New Roman" w:eastAsia="Times New Roman" w:hAnsi="Times New Roman" w:cs="Times New Roman"/>
                <w:color w:val="000000"/>
                <w:sz w:val="24"/>
                <w:szCs w:val="24"/>
                <w:lang w:eastAsia="bg-BG"/>
              </w:rPr>
              <w:t>5. За дейности за създаване на информационни и комуникационни технологии в образователна инфраструктура.</w:t>
            </w:r>
          </w:p>
          <w:p w:rsidR="004E655E" w:rsidRDefault="004E655E" w:rsidP="001163C1">
            <w:pPr>
              <w:widowControl w:val="0"/>
              <w:autoSpaceDE w:val="0"/>
              <w:autoSpaceDN w:val="0"/>
              <w:adjustRightInd w:val="0"/>
              <w:jc w:val="both"/>
            </w:pPr>
            <w:r w:rsidRPr="00120378">
              <w:rPr>
                <w:rFonts w:ascii="Times New Roman" w:hAnsi="Times New Roman" w:cs="Times New Roman"/>
                <w:sz w:val="24"/>
                <w:szCs w:val="24"/>
                <w:lang w:val="en-US"/>
              </w:rPr>
              <w:t>II</w:t>
            </w:r>
            <w:r w:rsidRPr="00120378">
              <w:rPr>
                <w:rFonts w:ascii="Times New Roman" w:hAnsi="Times New Roman" w:cs="Times New Roman"/>
                <w:sz w:val="24"/>
                <w:szCs w:val="24"/>
                <w:lang w:val="ru-RU"/>
              </w:rPr>
              <w:t xml:space="preserve">. </w:t>
            </w:r>
            <w:r w:rsidRPr="00120378">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28" w:history="1">
              <w:r w:rsidRPr="00120378">
                <w:rPr>
                  <w:rFonts w:ascii="Times New Roman" w:hAnsi="Times New Roman" w:cs="Times New Roman"/>
                  <w:color w:val="000000"/>
                  <w:sz w:val="24"/>
                  <w:szCs w:val="24"/>
                </w:rPr>
                <w:t>чл. 65, параграф 11 от Регламент (ЕС) № 1303/2013</w:t>
              </w:r>
            </w:hyperlink>
            <w:r w:rsidRPr="00120378">
              <w:rPr>
                <w:rFonts w:ascii="Times New Roman"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w:t>
            </w:r>
            <w:r w:rsidRPr="00120378">
              <w:rPr>
                <w:rFonts w:ascii="Times New Roman" w:hAnsi="Times New Roman" w:cs="Times New Roman"/>
                <w:sz w:val="24"/>
                <w:szCs w:val="24"/>
              </w:rPr>
              <w:lastRenderedPageBreak/>
              <w:t xml:space="preserve">рибарство, и за отмяна на </w:t>
            </w:r>
            <w:hyperlink r:id="rId29" w:history="1">
              <w:r w:rsidRPr="00120378">
                <w:rPr>
                  <w:rFonts w:ascii="Times New Roman" w:hAnsi="Times New Roman" w:cs="Times New Roman"/>
                  <w:color w:val="000000"/>
                  <w:sz w:val="24"/>
                  <w:szCs w:val="24"/>
                </w:rPr>
                <w:t>Регламент (ЕО) № 1083/2006 на Съвета</w:t>
              </w:r>
            </w:hyperlink>
            <w:r w:rsidRPr="00120378">
              <w:rPr>
                <w:rFonts w:ascii="Times New Roman" w:hAnsi="Times New Roman" w:cs="Times New Roman"/>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w:t>
            </w:r>
            <w:r>
              <w:rPr>
                <w:rFonts w:ascii="Times New Roman" w:hAnsi="Times New Roman" w:cs="Times New Roman"/>
              </w:rPr>
              <w:t xml:space="preserve"> </w:t>
            </w:r>
            <w:r w:rsidRPr="0058149B">
              <w:rPr>
                <w:rFonts w:ascii="Times New Roman" w:hAnsi="Times New Roman" w:cs="Times New Roman"/>
              </w:rPr>
              <w:t>същия обект/и.</w:t>
            </w:r>
          </w:p>
        </w:tc>
      </w:tr>
    </w:tbl>
    <w:p w:rsidR="004E655E" w:rsidRPr="001B19A2" w:rsidRDefault="004E655E" w:rsidP="004E655E">
      <w:pPr>
        <w:pStyle w:val="1"/>
        <w:rPr>
          <w:rFonts w:cs="Times New Roman"/>
          <w:sz w:val="22"/>
          <w:szCs w:val="22"/>
        </w:rPr>
      </w:pPr>
      <w:bookmarkStart w:id="17" w:name="_Toc505614652"/>
      <w:r w:rsidRPr="001B19A2">
        <w:rPr>
          <w:rFonts w:cs="Times New Roman"/>
          <w:sz w:val="22"/>
          <w:szCs w:val="22"/>
        </w:rPr>
        <w:lastRenderedPageBreak/>
        <w:t>14. Категории разходи, допустими за финансиране:</w:t>
      </w:r>
      <w:bookmarkEnd w:id="17"/>
    </w:p>
    <w:p w:rsidR="004E655E" w:rsidRPr="001B19A2" w:rsidRDefault="004E655E" w:rsidP="004E655E">
      <w:pPr>
        <w:rPr>
          <w:rFonts w:ascii="Times New Roman" w:hAnsi="Times New Roman" w:cs="Times New Roman"/>
          <w:b/>
        </w:rPr>
      </w:pPr>
      <w:r w:rsidRPr="001B19A2">
        <w:rPr>
          <w:rFonts w:ascii="Times New Roman" w:hAnsi="Times New Roman" w:cs="Times New Roman"/>
          <w:b/>
        </w:rPr>
        <w:t>14.1. Допустими разходи:</w:t>
      </w:r>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187C11" w:rsidRDefault="004E655E" w:rsidP="001163C1">
            <w:pPr>
              <w:widowControl w:val="0"/>
              <w:autoSpaceDE w:val="0"/>
              <w:autoSpaceDN w:val="0"/>
              <w:adjustRightInd w:val="0"/>
              <w:jc w:val="both"/>
              <w:rPr>
                <w:rFonts w:ascii="Times New Roman" w:hAnsi="Times New Roman" w:cs="Times New Roman"/>
                <w:b/>
              </w:rPr>
            </w:pPr>
            <w:r w:rsidRPr="00187C11">
              <w:rPr>
                <w:rFonts w:ascii="Times New Roman" w:hAnsi="Times New Roman" w:cs="Times New Roman"/>
                <w:b/>
                <w:lang w:val="en-US"/>
              </w:rPr>
              <w:t>I</w:t>
            </w:r>
            <w:r w:rsidRPr="00262396">
              <w:rPr>
                <w:rFonts w:ascii="Times New Roman" w:hAnsi="Times New Roman" w:cs="Times New Roman"/>
                <w:b/>
                <w:lang w:val="ru-RU"/>
              </w:rPr>
              <w:t xml:space="preserve">. </w:t>
            </w:r>
            <w:r w:rsidRPr="00187C11">
              <w:rPr>
                <w:rFonts w:ascii="Times New Roman" w:hAnsi="Times New Roman" w:cs="Times New Roman"/>
                <w:b/>
              </w:rPr>
              <w:t>Допустими за подпомагане са следните разходи:</w:t>
            </w:r>
          </w:p>
          <w:p w:rsidR="004E655E" w:rsidRPr="00EA26B4"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1.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w:t>
            </w:r>
          </w:p>
          <w:p w:rsidR="004E655E" w:rsidRPr="00EA26B4"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2. закупуване на нови транспортни средства, оборудване и обзавеждане до пазарната им стойност, включително чрез финансов лизинг, съгласно допустимите за подпомагане дейности;</w:t>
            </w:r>
          </w:p>
          <w:p w:rsidR="004E655E" w:rsidRPr="00EA26B4"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3. придобиване на компютърен софтуер, патентни и авторски права, лицензи, регистрация на търговски марки, до пазарната им стойност;</w:t>
            </w:r>
          </w:p>
          <w:p w:rsidR="004E655E" w:rsidRDefault="004E655E"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EA26B4">
              <w:rPr>
                <w:rFonts w:ascii="Times New Roman" w:eastAsia="MS Mincho" w:hAnsi="Times New Roman" w:cs="Times New Roman"/>
                <w:sz w:val="24"/>
                <w:szCs w:val="24"/>
                <w:shd w:val="clear" w:color="auto" w:fill="FEFEFE"/>
                <w:lang w:eastAsia="bg-BG"/>
              </w:rPr>
              <w:t xml:space="preserve">4. разходи, свързани с проекта, в т.ч.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w:t>
            </w:r>
            <w:r w:rsidRPr="001B4EFA">
              <w:rPr>
                <w:rFonts w:ascii="Times New Roman" w:eastAsia="MS Mincho" w:hAnsi="Times New Roman" w:cs="Times New Roman"/>
                <w:sz w:val="24"/>
                <w:szCs w:val="24"/>
                <w:shd w:val="clear" w:color="auto" w:fill="FEFEFE"/>
                <w:lang w:eastAsia="bg-BG"/>
              </w:rPr>
              <w:t>надхвърлят 12 на сто от общия размер на допустимите разходи по проект.</w:t>
            </w:r>
          </w:p>
          <w:p w:rsidR="00126349" w:rsidRDefault="00126349" w:rsidP="00126349">
            <w:pPr>
              <w:spacing w:after="0"/>
              <w:jc w:val="both"/>
              <w:rPr>
                <w:rFonts w:ascii="Times New Roman" w:hAnsi="Times New Roman" w:cs="Times New Roman"/>
                <w:sz w:val="24"/>
                <w:szCs w:val="24"/>
              </w:rPr>
            </w:pPr>
            <w:r>
              <w:rPr>
                <w:rFonts w:ascii="Times New Roman" w:hAnsi="Times New Roman" w:cs="Times New Roman"/>
                <w:sz w:val="24"/>
                <w:szCs w:val="24"/>
              </w:rPr>
              <w:t>За разработване на бизнес план, включващ пред проектни изследвания и маркетингови стратегии или попълване на анализ разходи ползи/финансов анализ/,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p>
          <w:p w:rsidR="00126349" w:rsidRPr="001B4EFA" w:rsidRDefault="00126349" w:rsidP="001163C1">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p>
          <w:p w:rsidR="004E655E" w:rsidRDefault="004E655E" w:rsidP="001163C1">
            <w:pPr>
              <w:widowControl w:val="0"/>
              <w:autoSpaceDE w:val="0"/>
              <w:autoSpaceDN w:val="0"/>
              <w:adjustRightInd w:val="0"/>
              <w:jc w:val="both"/>
              <w:rPr>
                <w:rFonts w:ascii="Times New Roman" w:hAnsi="Times New Roman" w:cs="Times New Roman"/>
              </w:rPr>
            </w:pPr>
            <w:r>
              <w:rPr>
                <w:rFonts w:ascii="Times New Roman" w:hAnsi="Times New Roman" w:cs="Times New Roman"/>
              </w:rPr>
              <w:t>По подмярка 7.2 е допустимо : изграждане, реконструкция, ремонт и оборудване и/или обзавеждане на социална инфраструктура за предоставяне на услуги, които не са част от процеса на деинституализация на деца и възрастни, вкл. транспортни средства;</w:t>
            </w:r>
          </w:p>
          <w:p w:rsidR="004E655E" w:rsidRPr="00C36A75" w:rsidRDefault="004E655E" w:rsidP="001163C1">
            <w:pPr>
              <w:widowControl w:val="0"/>
              <w:autoSpaceDE w:val="0"/>
              <w:autoSpaceDN w:val="0"/>
              <w:adjustRightInd w:val="0"/>
              <w:jc w:val="both"/>
              <w:rPr>
                <w:rFonts w:ascii="Times New Roman" w:hAnsi="Times New Roman" w:cs="Times New Roman"/>
                <w:b/>
              </w:rPr>
            </w:pPr>
            <w:r w:rsidRPr="00C36A75">
              <w:rPr>
                <w:rFonts w:ascii="Times New Roman" w:hAnsi="Times New Roman" w:cs="Times New Roman"/>
                <w:b/>
              </w:rPr>
              <w:t xml:space="preserve">Изграждане, реконструкция, ремонт,реставрация, закупуване на оборудване и/или </w:t>
            </w:r>
            <w:r w:rsidRPr="00C36A75">
              <w:rPr>
                <w:rFonts w:ascii="Times New Roman" w:hAnsi="Times New Roman" w:cs="Times New Roman"/>
                <w:b/>
              </w:rPr>
              <w:lastRenderedPageBreak/>
              <w:t>обзавеждане на обекти, свързани с културния живот, вкл. мобилни такива, вкл. и дейности по вертикалната планировка и подобряване прилежащите пространства.</w:t>
            </w:r>
          </w:p>
          <w:p w:rsidR="004E655E" w:rsidRPr="00126349" w:rsidRDefault="004E655E" w:rsidP="001163C1">
            <w:pPr>
              <w:widowControl w:val="0"/>
              <w:autoSpaceDE w:val="0"/>
              <w:autoSpaceDN w:val="0"/>
              <w:adjustRightInd w:val="0"/>
              <w:jc w:val="both"/>
              <w:rPr>
                <w:rFonts w:ascii="Times New Roman" w:hAnsi="Times New Roman" w:cs="Times New Roman"/>
                <w:b/>
              </w:rPr>
            </w:pPr>
            <w:r w:rsidRPr="00C36A75">
              <w:rPr>
                <w:rFonts w:ascii="Times New Roman" w:hAnsi="Times New Roman" w:cs="Times New Roman"/>
                <w:b/>
              </w:rPr>
              <w:t>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tc>
      </w:tr>
    </w:tbl>
    <w:p w:rsidR="004E655E" w:rsidRPr="001309B9" w:rsidRDefault="004E655E" w:rsidP="004E655E">
      <w:pPr>
        <w:pStyle w:val="1"/>
        <w:rPr>
          <w:sz w:val="22"/>
          <w:szCs w:val="22"/>
        </w:rPr>
      </w:pPr>
      <w:bookmarkStart w:id="18" w:name="_Toc505614653"/>
      <w:r w:rsidRPr="001309B9">
        <w:rPr>
          <w:sz w:val="22"/>
          <w:szCs w:val="22"/>
        </w:rPr>
        <w:lastRenderedPageBreak/>
        <w:t>1</w:t>
      </w:r>
      <w:r>
        <w:rPr>
          <w:sz w:val="22"/>
          <w:szCs w:val="22"/>
        </w:rPr>
        <w:t>4</w:t>
      </w:r>
      <w:r w:rsidRPr="001309B9">
        <w:rPr>
          <w:sz w:val="22"/>
          <w:szCs w:val="22"/>
        </w:rPr>
        <w:t xml:space="preserve">. 2. Условия за допустимост на </w:t>
      </w:r>
      <w:r>
        <w:rPr>
          <w:sz w:val="22"/>
          <w:szCs w:val="22"/>
        </w:rPr>
        <w:t>разходите</w:t>
      </w:r>
      <w:r w:rsidRPr="001309B9">
        <w:rPr>
          <w:sz w:val="22"/>
          <w:szCs w:val="22"/>
        </w:rPr>
        <w:t>:</w:t>
      </w:r>
      <w:bookmarkEnd w:id="18"/>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2. Допустимите разходи по подточка  4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не може да надхвърлят </w:t>
            </w:r>
            <w:r w:rsidRPr="00A46063">
              <w:rPr>
                <w:rFonts w:ascii="Times New Roman" w:hAnsi="Times New Roman" w:cs="Times New Roman"/>
                <w:sz w:val="24"/>
                <w:szCs w:val="24"/>
                <w:lang w:val="ru-RU"/>
              </w:rPr>
              <w:t>12</w:t>
            </w:r>
            <w:r w:rsidRPr="00A46063">
              <w:rPr>
                <w:rFonts w:ascii="Times New Roman" w:eastAsia="MS Mincho" w:hAnsi="Times New Roman" w:cs="Times New Roman"/>
                <w:sz w:val="24"/>
                <w:szCs w:val="24"/>
                <w:shd w:val="clear" w:color="auto" w:fill="FEFEFE"/>
                <w:lang w:eastAsia="bg-BG"/>
              </w:rPr>
              <w:t xml:space="preserve"> на сто от общия размер на допустимите разходи по проект.</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3. Разходите по подточка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са допустими само в случай, че се кандидатства за разходи по подточка 1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от Раздел 14.1. „Допустими разходи” и са необходими за постигане на целите на проекта.</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4. Разходите за енергийно обследване по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подточки 1  са допустими само в случай, че се кандидатства за дейността 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5. Разходите по подточка 4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6. Дейностите и разходите по проекта с изключение на разходите по подточка 4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7.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8. Оценителната комисия извършва оценка на основателността на предложените за финансиране разходи по подточки 1, 2 и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w:t>
            </w:r>
            <w:r w:rsidRPr="00A46063">
              <w:rPr>
                <w:rFonts w:ascii="Times New Roman" w:hAnsi="Times New Roman" w:cs="Times New Roman"/>
                <w:sz w:val="24"/>
                <w:szCs w:val="24"/>
              </w:rPr>
              <w:lastRenderedPageBreak/>
              <w:t>чрез съпоставяне на предложените разходи с определените от ДФЗ-РА референтни разходи за допустими за финансиране активи и услуги.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shd w:val="clear" w:color="auto" w:fill="FEFEFE"/>
              </w:rPr>
            </w:pPr>
            <w:r w:rsidRPr="00A46063">
              <w:rPr>
                <w:rFonts w:ascii="Times New Roman" w:hAnsi="Times New Roman" w:cs="Times New Roman"/>
                <w:sz w:val="24"/>
                <w:szCs w:val="24"/>
              </w:rPr>
              <w:t xml:space="preserve">9. </w:t>
            </w:r>
            <w:r w:rsidRPr="00A46063">
              <w:rPr>
                <w:rFonts w:ascii="Times New Roman" w:hAnsi="Times New Roman" w:cs="Times New Roman"/>
                <w:sz w:val="24"/>
                <w:szCs w:val="24"/>
                <w:shd w:val="clear" w:color="auto" w:fill="FEFEFE"/>
              </w:rPr>
              <w:t>Списък с наименованията на активите, дейностите и услугите, за които са определени референтни разходи, е приложение към настоящите Условия за кандидатстване (</w:t>
            </w:r>
            <w:r w:rsidRPr="00A46063">
              <w:rPr>
                <w:rFonts w:ascii="Times New Roman" w:hAnsi="Times New Roman" w:cs="Times New Roman"/>
                <w:i/>
                <w:sz w:val="24"/>
                <w:szCs w:val="24"/>
                <w:shd w:val="clear" w:color="auto" w:fill="FEFEFE"/>
              </w:rPr>
              <w:t>Приложение № 2</w:t>
            </w:r>
            <w:r w:rsidR="00987A5E" w:rsidRPr="00A46063">
              <w:rPr>
                <w:rFonts w:ascii="Times New Roman" w:hAnsi="Times New Roman" w:cs="Times New Roman"/>
                <w:i/>
                <w:sz w:val="24"/>
                <w:szCs w:val="24"/>
                <w:shd w:val="clear" w:color="auto" w:fill="FEFEFE"/>
              </w:rPr>
              <w:t>2 от Документи за информация  към Условия за кандидатстване</w:t>
            </w:r>
            <w:r w:rsidRPr="00A46063">
              <w:rPr>
                <w:rFonts w:ascii="Times New Roman" w:hAnsi="Times New Roman" w:cs="Times New Roman"/>
                <w:sz w:val="24"/>
                <w:szCs w:val="24"/>
                <w:shd w:val="clear" w:color="auto" w:fill="FEFEFE"/>
              </w:rPr>
              <w:t xml:space="preserve">). </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shd w:val="clear" w:color="auto" w:fill="FEFEFE"/>
              </w:rPr>
              <w:t>10. Обосноваността на за</w:t>
            </w:r>
            <w:r w:rsidRPr="00A46063">
              <w:rPr>
                <w:rFonts w:ascii="Times New Roman" w:hAnsi="Times New Roman" w:cs="Times New Roman"/>
                <w:sz w:val="24"/>
                <w:szCs w:val="24"/>
              </w:rPr>
              <w:t>явените за финансиране разходи се преценява чрез съпоставяне с определените референтни разходи.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11. Когато заявеният за финансиране разход по подточки 1, 2 и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е включен в списъка по т. 9 към датата на подаване на проектното предложение, кандидатът представя </w:t>
            </w:r>
            <w:r w:rsidRPr="00A46063">
              <w:rPr>
                <w:rFonts w:ascii="Times New Roman" w:eastAsiaTheme="minorEastAsia" w:hAnsi="Times New Roman" w:cs="Times New Roman"/>
                <w:sz w:val="24"/>
                <w:szCs w:val="24"/>
                <w:lang w:eastAsia="bg-BG"/>
              </w:rPr>
              <w:t xml:space="preserve">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w:t>
            </w:r>
          </w:p>
          <w:p w:rsidR="004E655E" w:rsidRPr="00A46063" w:rsidRDefault="004E655E" w:rsidP="001163C1">
            <w:pPr>
              <w:widowControl w:val="0"/>
              <w:autoSpaceDE w:val="0"/>
              <w:autoSpaceDN w:val="0"/>
              <w:adjustRightInd w:val="0"/>
              <w:jc w:val="both"/>
              <w:rPr>
                <w:rFonts w:ascii="Times New Roman" w:eastAsiaTheme="minorEastAsia" w:hAnsi="Times New Roman" w:cs="Times New Roman"/>
                <w:sz w:val="24"/>
                <w:szCs w:val="24"/>
                <w:lang w:eastAsia="bg-BG"/>
              </w:rPr>
            </w:pPr>
            <w:r w:rsidRPr="00A46063">
              <w:rPr>
                <w:rFonts w:ascii="Times New Roman" w:hAnsi="Times New Roman" w:cs="Times New Roman"/>
                <w:sz w:val="24"/>
                <w:szCs w:val="24"/>
              </w:rPr>
              <w:t xml:space="preserve">11. Когато заявеният за финансиране разход по подточки 1, 2 и 3 от т. </w:t>
            </w:r>
            <w:r w:rsidRPr="00A46063">
              <w:rPr>
                <w:rFonts w:ascii="Times New Roman" w:hAnsi="Times New Roman" w:cs="Times New Roman"/>
                <w:sz w:val="24"/>
                <w:szCs w:val="24"/>
                <w:lang w:val="en-US"/>
              </w:rPr>
              <w:t>I</w:t>
            </w:r>
            <w:r w:rsidRPr="00A46063">
              <w:rPr>
                <w:rFonts w:ascii="Times New Roman" w:hAnsi="Times New Roman" w:cs="Times New Roman"/>
                <w:sz w:val="24"/>
                <w:szCs w:val="24"/>
                <w:lang w:val="ru-RU"/>
              </w:rPr>
              <w:t>.</w:t>
            </w:r>
            <w:r w:rsidRPr="00A46063">
              <w:rPr>
                <w:rFonts w:ascii="Times New Roman" w:hAnsi="Times New Roman" w:cs="Times New Roman"/>
                <w:sz w:val="24"/>
                <w:szCs w:val="24"/>
              </w:rPr>
              <w:t xml:space="preserve"> от Раздел 14.1. „Допустими разходи” не е включен в списъка по т. 9 към датата на подаване на проектното предложение, обосноваността на разходите се преценява чрез представяне на най-малко три съпоставими независими оферти </w:t>
            </w:r>
            <w:r w:rsidRPr="00A46063">
              <w:rPr>
                <w:rFonts w:ascii="Times New Roman" w:eastAsiaTheme="minorEastAsia" w:hAnsi="Times New Roman" w:cs="Times New Roman"/>
                <w:sz w:val="24"/>
                <w:szCs w:val="24"/>
                <w:lang w:eastAsia="bg-BG"/>
              </w:rPr>
              <w:t xml:space="preserve">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Pr="00A46063">
              <w:rPr>
                <w:rFonts w:ascii="Times New Roman" w:eastAsiaTheme="minorEastAsia" w:hAnsi="Times New Roman" w:cs="Times New Roman"/>
                <w:i/>
                <w:sz w:val="24"/>
                <w:szCs w:val="24"/>
                <w:lang w:eastAsia="bg-BG"/>
              </w:rPr>
              <w:t xml:space="preserve">Приложение № </w:t>
            </w:r>
            <w:r w:rsidR="00987A5E" w:rsidRPr="00A46063">
              <w:rPr>
                <w:rFonts w:ascii="Times New Roman" w:eastAsiaTheme="minorEastAsia" w:hAnsi="Times New Roman" w:cs="Times New Roman"/>
                <w:i/>
                <w:sz w:val="24"/>
                <w:szCs w:val="24"/>
                <w:lang w:eastAsia="bg-BG"/>
              </w:rPr>
              <w:t xml:space="preserve">17 </w:t>
            </w:r>
            <w:r w:rsidR="00987A5E" w:rsidRPr="00A46063">
              <w:rPr>
                <w:i/>
                <w:sz w:val="24"/>
                <w:szCs w:val="24"/>
              </w:rPr>
              <w:t xml:space="preserve"> </w:t>
            </w:r>
            <w:r w:rsidR="00987A5E" w:rsidRPr="00A46063">
              <w:rPr>
                <w:rFonts w:ascii="Times New Roman" w:eastAsiaTheme="minorEastAsia" w:hAnsi="Times New Roman" w:cs="Times New Roman"/>
                <w:i/>
                <w:sz w:val="24"/>
                <w:szCs w:val="24"/>
                <w:lang w:eastAsia="bg-BG"/>
              </w:rPr>
              <w:t>от Документи за попълване към Условия за кандидатстване</w:t>
            </w:r>
            <w:r w:rsidR="00987A5E" w:rsidRPr="00A46063">
              <w:rPr>
                <w:i/>
                <w:sz w:val="24"/>
                <w:szCs w:val="24"/>
                <w:lang w:val="ru-RU"/>
              </w:rPr>
              <w:t>,</w:t>
            </w:r>
            <w:r w:rsidRPr="00A46063">
              <w:rPr>
                <w:rFonts w:ascii="Times New Roman" w:eastAsiaTheme="minorEastAsia" w:hAnsi="Times New Roman" w:cs="Times New Roman"/>
                <w:color w:val="FF0000"/>
                <w:sz w:val="24"/>
                <w:szCs w:val="24"/>
                <w:lang w:eastAsia="bg-BG"/>
              </w:rPr>
              <w:t xml:space="preserve"> </w:t>
            </w:r>
            <w:r w:rsidRPr="00A46063">
              <w:rPr>
                <w:rFonts w:ascii="Times New Roman" w:eastAsiaTheme="minorEastAsia" w:hAnsi="Times New Roman" w:cs="Times New Roman"/>
                <w:sz w:val="24"/>
                <w:szCs w:val="24"/>
                <w:lang w:eastAsia="bg-BG"/>
              </w:rPr>
              <w:t>а когато не е избрал най-ниската оферта – писмена обосновка за мотивите, обусловили избора му. В тези случаи РА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 xml:space="preserve">12. В случаите по т. 11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w:t>
            </w:r>
            <w:r w:rsidRPr="00A46063">
              <w:rPr>
                <w:rFonts w:ascii="Times New Roman" w:hAnsi="Times New Roman" w:cs="Times New Roman"/>
                <w:sz w:val="24"/>
                <w:szCs w:val="24"/>
              </w:rPr>
              <w:lastRenderedPageBreak/>
              <w:t xml:space="preserve">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rPr>
              <w:t>13. Кандидатите събират офертите по т. 12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4E655E" w:rsidRPr="00A46063" w:rsidRDefault="004E655E" w:rsidP="001163C1">
            <w:pPr>
              <w:widowControl w:val="0"/>
              <w:autoSpaceDE w:val="0"/>
              <w:autoSpaceDN w:val="0"/>
              <w:adjustRightInd w:val="0"/>
              <w:jc w:val="both"/>
              <w:rPr>
                <w:rFonts w:ascii="Times New Roman" w:hAnsi="Times New Roman" w:cs="Times New Roman"/>
                <w:sz w:val="24"/>
                <w:szCs w:val="24"/>
              </w:rPr>
            </w:pPr>
            <w:r w:rsidRPr="00A46063">
              <w:rPr>
                <w:rFonts w:ascii="Times New Roman" w:hAnsi="Times New Roman" w:cs="Times New Roman"/>
                <w:sz w:val="24"/>
                <w:szCs w:val="24"/>
                <w:shd w:val="clear" w:color="auto" w:fill="FEFEFE"/>
              </w:rPr>
              <w:t xml:space="preserve">14. </w:t>
            </w:r>
            <w:r w:rsidRPr="00A46063">
              <w:rPr>
                <w:rFonts w:ascii="Times New Roman" w:hAnsi="Times New Roman" w:cs="Times New Roman"/>
                <w:sz w:val="24"/>
                <w:szCs w:val="24"/>
              </w:rPr>
              <w:t>Минималното съдържание на офертите по т. 11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4E655E" w:rsidRPr="00A46063" w:rsidRDefault="004E655E" w:rsidP="001163C1">
            <w:pPr>
              <w:widowControl w:val="0"/>
              <w:autoSpaceDE w:val="0"/>
              <w:autoSpaceDN w:val="0"/>
              <w:adjustRightInd w:val="0"/>
              <w:jc w:val="both"/>
              <w:rPr>
                <w:sz w:val="24"/>
                <w:szCs w:val="24"/>
              </w:rPr>
            </w:pPr>
            <w:r w:rsidRPr="00A46063">
              <w:rPr>
                <w:rFonts w:ascii="Times New Roman" w:hAnsi="Times New Roman" w:cs="Times New Roman"/>
                <w:sz w:val="24"/>
                <w:szCs w:val="24"/>
              </w:rPr>
              <w:t>15. В случаите по т. 11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4E655E" w:rsidRPr="001309B9" w:rsidRDefault="004E655E" w:rsidP="004E655E">
      <w:pPr>
        <w:pStyle w:val="1"/>
        <w:rPr>
          <w:sz w:val="22"/>
          <w:szCs w:val="22"/>
        </w:rPr>
      </w:pPr>
      <w:bookmarkStart w:id="19" w:name="_Toc505614654"/>
      <w:r w:rsidRPr="001309B9">
        <w:rPr>
          <w:sz w:val="22"/>
          <w:szCs w:val="22"/>
        </w:rPr>
        <w:lastRenderedPageBreak/>
        <w:t>1</w:t>
      </w:r>
      <w:r>
        <w:rPr>
          <w:sz w:val="22"/>
          <w:szCs w:val="22"/>
        </w:rPr>
        <w:t>4</w:t>
      </w:r>
      <w:r w:rsidRPr="001309B9">
        <w:rPr>
          <w:sz w:val="22"/>
          <w:szCs w:val="22"/>
        </w:rPr>
        <w:t xml:space="preserve">. </w:t>
      </w:r>
      <w:r>
        <w:rPr>
          <w:sz w:val="22"/>
          <w:szCs w:val="22"/>
        </w:rPr>
        <w:t>3</w:t>
      </w:r>
      <w:r w:rsidRPr="001309B9">
        <w:rPr>
          <w:sz w:val="22"/>
          <w:szCs w:val="22"/>
        </w:rPr>
        <w:t xml:space="preserve">. </w:t>
      </w:r>
      <w:r>
        <w:rPr>
          <w:sz w:val="22"/>
          <w:szCs w:val="22"/>
        </w:rPr>
        <w:t>Недопустими разходи</w:t>
      </w:r>
      <w:r w:rsidRPr="001309B9">
        <w:rPr>
          <w:sz w:val="22"/>
          <w:szCs w:val="22"/>
        </w:rPr>
        <w:t>:</w:t>
      </w:r>
      <w:bookmarkEnd w:id="19"/>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EA26B4" w:rsidRDefault="004E655E" w:rsidP="001163C1">
            <w:pPr>
              <w:jc w:val="both"/>
              <w:rPr>
                <w:rFonts w:ascii="Times New Roman" w:eastAsia="SimSun" w:hAnsi="Times New Roman" w:cs="Times New Roman"/>
                <w:b/>
                <w:sz w:val="24"/>
                <w:szCs w:val="24"/>
                <w:lang w:eastAsia="zh-CN"/>
              </w:rPr>
            </w:pPr>
            <w:bookmarkStart w:id="20" w:name="to_paragraph_id30665553"/>
            <w:bookmarkEnd w:id="20"/>
            <w:r w:rsidRPr="00EA26B4">
              <w:rPr>
                <w:rFonts w:ascii="Times New Roman" w:eastAsia="SimSun" w:hAnsi="Times New Roman" w:cs="Times New Roman"/>
                <w:b/>
                <w:sz w:val="24"/>
                <w:szCs w:val="24"/>
                <w:lang w:eastAsia="zh-CN"/>
              </w:rPr>
              <w:t xml:space="preserve">От стратегията за ВОМР не са допустими за финансиране от ЕЗФРСР разходи: </w:t>
            </w:r>
          </w:p>
          <w:p w:rsidR="004E655E" w:rsidRPr="00EA26B4" w:rsidRDefault="004E655E" w:rsidP="001163C1">
            <w:pPr>
              <w:jc w:val="both"/>
              <w:rPr>
                <w:rFonts w:ascii="Times New Roman" w:eastAsia="SimSun" w:hAnsi="Times New Roman" w:cs="Times New Roman"/>
                <w:sz w:val="24"/>
                <w:szCs w:val="24"/>
                <w:lang w:eastAsia="zh-CN"/>
              </w:rPr>
            </w:pPr>
            <w:r w:rsidRPr="001B4EFA">
              <w:rPr>
                <w:rFonts w:ascii="Times New Roman" w:eastAsia="SimSun" w:hAnsi="Times New Roman" w:cs="Times New Roman"/>
                <w:b/>
                <w:sz w:val="24"/>
                <w:szCs w:val="24"/>
                <w:lang w:val="ru-RU" w:eastAsia="zh-CN"/>
              </w:rPr>
              <w:t>(</w:t>
            </w:r>
            <w:r w:rsidRPr="00A0114E">
              <w:rPr>
                <w:rFonts w:ascii="Times New Roman" w:eastAsia="SimSun" w:hAnsi="Times New Roman" w:cs="Times New Roman"/>
                <w:b/>
                <w:sz w:val="24"/>
                <w:szCs w:val="24"/>
                <w:lang w:eastAsia="zh-CN"/>
              </w:rPr>
              <w:t>1</w:t>
            </w:r>
            <w:r w:rsidRPr="001B4EFA">
              <w:rPr>
                <w:rFonts w:ascii="Times New Roman" w:eastAsia="SimSun" w:hAnsi="Times New Roman" w:cs="Times New Roman"/>
                <w:b/>
                <w:sz w:val="24"/>
                <w:szCs w:val="24"/>
                <w:lang w:val="ru-RU" w:eastAsia="zh-CN"/>
              </w:rPr>
              <w:t>)</w:t>
            </w:r>
            <w:r w:rsidRPr="00EA26B4">
              <w:rPr>
                <w:rFonts w:ascii="Times New Roman" w:eastAsia="SimSun" w:hAnsi="Times New Roman" w:cs="Times New Roman"/>
                <w:sz w:val="24"/>
                <w:szCs w:val="24"/>
                <w:lang w:eastAsia="zh-CN"/>
              </w:rPr>
              <w:t xml:space="preserve">1. за лихви по дългове;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4E655E" w:rsidRPr="00B27138"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3. за данък върху добавената стойност освен </w:t>
            </w:r>
            <w:r w:rsidRPr="00B27138">
              <w:rPr>
                <w:rFonts w:ascii="Times New Roman" w:eastAsia="SimSun" w:hAnsi="Times New Roman" w:cs="Times New Roman"/>
                <w:sz w:val="24"/>
                <w:szCs w:val="24"/>
                <w:lang w:eastAsia="zh-CN"/>
              </w:rPr>
              <w:t xml:space="preserve">невъзстановимия;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4. за обикновена подмяна и поддръжка;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lastRenderedPageBreak/>
              <w:t xml:space="preserve">7. за режийни разходи;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8. за застраховки; </w:t>
            </w:r>
          </w:p>
          <w:p w:rsidR="004E655E" w:rsidRPr="00B27138"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 xml:space="preserve">9. за закупуване на оборудване втора употреба; </w:t>
            </w:r>
          </w:p>
          <w:p w:rsidR="004E655E" w:rsidRPr="00EA26B4" w:rsidRDefault="004E655E" w:rsidP="001163C1">
            <w:pPr>
              <w:jc w:val="both"/>
              <w:rPr>
                <w:rFonts w:ascii="Times New Roman" w:eastAsia="SimSun" w:hAnsi="Times New Roman" w:cs="Times New Roman"/>
                <w:sz w:val="24"/>
                <w:szCs w:val="24"/>
                <w:lang w:eastAsia="zh-CN"/>
              </w:rPr>
            </w:pPr>
            <w:r w:rsidRPr="00B27138">
              <w:rPr>
                <w:rFonts w:ascii="Times New Roman" w:eastAsia="SimSun" w:hAnsi="Times New Roman" w:cs="Times New Roman"/>
                <w:sz w:val="24"/>
                <w:szCs w:val="24"/>
                <w:lang w:eastAsia="zh-CN"/>
              </w:rPr>
              <w:t>10. извършени преди 1 януари 2014 г.;</w:t>
            </w:r>
            <w:r w:rsidRPr="00EA26B4">
              <w:rPr>
                <w:rFonts w:ascii="Times New Roman" w:eastAsia="SimSun" w:hAnsi="Times New Roman" w:cs="Times New Roman"/>
                <w:sz w:val="24"/>
                <w:szCs w:val="24"/>
                <w:lang w:eastAsia="zh-CN"/>
              </w:rPr>
              <w:t xml:space="preserve">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11. за принос в натура;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13. за инвестиция, за която е установено, че ще оказва отрицателно въздействие върху околната среда;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15. за строително-монтажни работи и за създаване на трайни насаждения, извършени преди посещение на място от МИГ; </w:t>
            </w:r>
          </w:p>
          <w:p w:rsidR="004E655E" w:rsidRPr="00EA26B4"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16. заявени за финансиране, когато надвишават определените по реда на чл. 22, ал. 4 референтни разходи; </w:t>
            </w:r>
          </w:p>
          <w:p w:rsidR="004E655E" w:rsidRDefault="004E655E" w:rsidP="001163C1">
            <w:pPr>
              <w:jc w:val="both"/>
              <w:rPr>
                <w:rFonts w:ascii="Times New Roman" w:eastAsia="SimSun" w:hAnsi="Times New Roman" w:cs="Times New Roman"/>
                <w:sz w:val="24"/>
                <w:szCs w:val="24"/>
                <w:lang w:eastAsia="zh-CN"/>
              </w:rPr>
            </w:pPr>
            <w:r w:rsidRPr="00EA26B4">
              <w:rPr>
                <w:rFonts w:ascii="Times New Roman" w:eastAsia="SimSun" w:hAnsi="Times New Roman" w:cs="Times New Roman"/>
                <w:sz w:val="24"/>
                <w:szCs w:val="24"/>
                <w:lang w:eastAsia="zh-CN"/>
              </w:rPr>
              <w:t xml:space="preserve">17. определени в мерките от ПРСР 2014 - 2020 г., извън посочените в т. 1 - 15. </w:t>
            </w:r>
          </w:p>
          <w:p w:rsidR="004E655E" w:rsidRPr="00A0114E" w:rsidRDefault="004E655E" w:rsidP="001163C1">
            <w:pPr>
              <w:jc w:val="both"/>
              <w:rPr>
                <w:rFonts w:ascii="Times New Roman" w:eastAsia="Times New Roman" w:hAnsi="Times New Roman" w:cs="Times New Roman"/>
                <w:sz w:val="24"/>
                <w:szCs w:val="24"/>
                <w:lang w:eastAsia="bg-BG"/>
              </w:rPr>
            </w:pPr>
            <w:r w:rsidRPr="00A0114E">
              <w:rPr>
                <w:rFonts w:ascii="Times New Roman" w:eastAsia="Times New Roman" w:hAnsi="Times New Roman" w:cs="Times New Roman"/>
                <w:color w:val="FF0000"/>
                <w:sz w:val="24"/>
                <w:szCs w:val="24"/>
                <w:lang w:eastAsia="bg-BG"/>
              </w:rPr>
              <w:t xml:space="preserve"> </w:t>
            </w:r>
            <w:r w:rsidRPr="00A0114E">
              <w:rPr>
                <w:rFonts w:ascii="Times New Roman" w:eastAsia="Times New Roman" w:hAnsi="Times New Roman" w:cs="Times New Roman"/>
                <w:sz w:val="24"/>
                <w:szCs w:val="24"/>
                <w:lang w:eastAsia="bg-BG"/>
              </w:rPr>
              <w:t>(2) Не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условията за кандидатстване и са оборудвани за целите на инвестицията.</w:t>
            </w:r>
          </w:p>
          <w:p w:rsidR="004E655E" w:rsidRPr="00BD2AAD" w:rsidRDefault="004E655E" w:rsidP="001163C1">
            <w:pPr>
              <w:tabs>
                <w:tab w:val="left" w:pos="226"/>
              </w:tabs>
              <w:autoSpaceDE w:val="0"/>
              <w:autoSpaceDN w:val="0"/>
              <w:adjustRightInd w:val="0"/>
              <w:rPr>
                <w:rFonts w:ascii="Times New Roman" w:hAnsi="Times New Roman" w:cs="Times New Roman"/>
                <w:b/>
                <w:bCs/>
                <w:color w:val="000000"/>
              </w:rPr>
            </w:pPr>
            <w:r w:rsidRPr="00BD2AAD">
              <w:rPr>
                <w:rFonts w:ascii="Times New Roman" w:hAnsi="Times New Roman" w:cs="Times New Roman"/>
                <w:b/>
                <w:bCs/>
                <w:color w:val="000000"/>
              </w:rPr>
              <w:t xml:space="preserve">Недопустими разходи, съгласно </w:t>
            </w:r>
            <w:r w:rsidRPr="00BD2AAD">
              <w:rPr>
                <w:rFonts w:ascii="Times New Roman" w:hAnsi="Times New Roman" w:cs="Times New Roman"/>
                <w:b/>
                <w:color w:val="000000"/>
              </w:rPr>
              <w:t>чл. 21, ал.1 от  Наредба 22</w:t>
            </w:r>
            <w:r w:rsidRPr="00BD2AAD">
              <w:rPr>
                <w:rFonts w:ascii="Times New Roman" w:hAnsi="Times New Roman" w:cs="Times New Roman"/>
                <w:b/>
                <w:bCs/>
                <w:color w:val="000000"/>
              </w:rPr>
              <w:t xml:space="preserve">: </w:t>
            </w:r>
          </w:p>
          <w:p w:rsidR="004E655E" w:rsidRPr="00A46063" w:rsidRDefault="004E655E" w:rsidP="001163C1">
            <w:pPr>
              <w:tabs>
                <w:tab w:val="left" w:pos="226"/>
              </w:tabs>
              <w:autoSpaceDE w:val="0"/>
              <w:autoSpaceDN w:val="0"/>
              <w:adjustRightInd w:val="0"/>
              <w:rPr>
                <w:rFonts w:ascii="Times New Roman" w:hAnsi="Times New Roman" w:cs="Times New Roman"/>
                <w:color w:val="000000"/>
                <w:sz w:val="24"/>
                <w:szCs w:val="24"/>
              </w:rPr>
            </w:pPr>
            <w:r w:rsidRPr="00A46063">
              <w:rPr>
                <w:rFonts w:ascii="Times New Roman" w:hAnsi="Times New Roman" w:cs="Times New Roman"/>
                <w:color w:val="000000"/>
                <w:sz w:val="24"/>
                <w:szCs w:val="24"/>
              </w:rPr>
              <w:t>1. определени като недопустими в ПМС № 189 от 2016 г.;</w:t>
            </w:r>
          </w:p>
          <w:p w:rsidR="004E655E" w:rsidRPr="00A46063" w:rsidRDefault="004E655E" w:rsidP="001163C1">
            <w:pPr>
              <w:tabs>
                <w:tab w:val="left" w:pos="226"/>
              </w:tabs>
              <w:autoSpaceDE w:val="0"/>
              <w:autoSpaceDN w:val="0"/>
              <w:adjustRightInd w:val="0"/>
              <w:rPr>
                <w:rFonts w:ascii="Times New Roman" w:hAnsi="Times New Roman" w:cs="Times New Roman"/>
                <w:color w:val="000000"/>
                <w:sz w:val="24"/>
                <w:szCs w:val="24"/>
              </w:rPr>
            </w:pPr>
            <w:r w:rsidRPr="00A46063">
              <w:rPr>
                <w:rFonts w:ascii="Times New Roman" w:hAnsi="Times New Roman" w:cs="Times New Roman"/>
                <w:color w:val="000000"/>
                <w:sz w:val="24"/>
                <w:szCs w:val="24"/>
              </w:rPr>
              <w:t>2. за инвестиция или дейност, получила финансиране от друг ЕСИФ;</w:t>
            </w:r>
          </w:p>
          <w:p w:rsidR="004E655E" w:rsidRPr="00A46063" w:rsidRDefault="004E655E" w:rsidP="001163C1">
            <w:pPr>
              <w:tabs>
                <w:tab w:val="left" w:pos="226"/>
              </w:tabs>
              <w:autoSpaceDE w:val="0"/>
              <w:autoSpaceDN w:val="0"/>
              <w:adjustRightInd w:val="0"/>
              <w:rPr>
                <w:rFonts w:ascii="Times New Roman" w:hAnsi="Times New Roman" w:cs="Times New Roman"/>
                <w:color w:val="000000"/>
                <w:sz w:val="24"/>
                <w:szCs w:val="24"/>
              </w:rPr>
            </w:pPr>
            <w:r w:rsidRPr="00A46063">
              <w:rPr>
                <w:rFonts w:ascii="Times New Roman" w:hAnsi="Times New Roman" w:cs="Times New Roman"/>
                <w:color w:val="000000"/>
                <w:sz w:val="24"/>
                <w:szCs w:val="24"/>
              </w:rPr>
              <w:t xml:space="preserve">3. за придобиването на товарни автомобили за сухопътен транспорт съгласно чл. 3, т. 2 </w:t>
            </w:r>
            <w:r w:rsidRPr="00A46063">
              <w:rPr>
                <w:rFonts w:ascii="Times New Roman" w:hAnsi="Times New Roman" w:cs="Times New Roman"/>
                <w:color w:val="000000"/>
                <w:sz w:val="24"/>
                <w:szCs w:val="24"/>
              </w:rPr>
              <w:lastRenderedPageBreak/>
              <w:t>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4E655E" w:rsidRPr="00A46063" w:rsidRDefault="004E655E" w:rsidP="001163C1">
            <w:pPr>
              <w:jc w:val="both"/>
              <w:rPr>
                <w:rFonts w:ascii="Times New Roman" w:eastAsia="SimSun" w:hAnsi="Times New Roman" w:cs="Times New Roman"/>
                <w:sz w:val="24"/>
                <w:szCs w:val="24"/>
                <w:lang w:eastAsia="zh-CN"/>
              </w:rPr>
            </w:pPr>
            <w:r w:rsidRPr="00A46063">
              <w:rPr>
                <w:rFonts w:ascii="Times New Roman" w:hAnsi="Times New Roman" w:cs="Times New Roman"/>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tc>
      </w:tr>
    </w:tbl>
    <w:p w:rsidR="004E655E" w:rsidRPr="000C4F4D" w:rsidRDefault="004E655E" w:rsidP="004E655E">
      <w:pPr>
        <w:pStyle w:val="1"/>
        <w:rPr>
          <w:sz w:val="22"/>
          <w:szCs w:val="22"/>
        </w:rPr>
      </w:pPr>
      <w:bookmarkStart w:id="21" w:name="_Toc505614655"/>
      <w:r w:rsidRPr="000C4F4D">
        <w:rPr>
          <w:sz w:val="22"/>
          <w:szCs w:val="22"/>
        </w:rPr>
        <w:lastRenderedPageBreak/>
        <w:t>15. Допустими целеви групи (ако е приложимо):</w:t>
      </w:r>
      <w:bookmarkEnd w:id="21"/>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rPr>
                <w:rFonts w:ascii="Times New Roman" w:hAnsi="Times New Roman" w:cs="Times New Roman"/>
                <w:sz w:val="24"/>
                <w:szCs w:val="24"/>
              </w:rPr>
            </w:pPr>
            <w:r w:rsidRPr="004A24F1">
              <w:rPr>
                <w:rFonts w:ascii="Times New Roman" w:hAnsi="Times New Roman" w:cs="Times New Roman"/>
                <w:sz w:val="24"/>
                <w:szCs w:val="24"/>
              </w:rPr>
              <w:t>Неприложимо</w:t>
            </w:r>
          </w:p>
        </w:tc>
      </w:tr>
    </w:tbl>
    <w:p w:rsidR="004E655E" w:rsidRPr="000C4F4D" w:rsidRDefault="004E655E" w:rsidP="004E655E">
      <w:pPr>
        <w:pStyle w:val="1"/>
        <w:rPr>
          <w:sz w:val="22"/>
          <w:szCs w:val="22"/>
        </w:rPr>
      </w:pPr>
      <w:bookmarkStart w:id="22" w:name="_Toc505614656"/>
      <w:r w:rsidRPr="00B21CD0">
        <w:rPr>
          <w:sz w:val="22"/>
          <w:szCs w:val="22"/>
        </w:rPr>
        <w:t>16. Приложим режим на миним</w:t>
      </w:r>
      <w:r>
        <w:rPr>
          <w:sz w:val="22"/>
          <w:szCs w:val="22"/>
        </w:rPr>
        <w:t>а</w:t>
      </w:r>
      <w:r w:rsidRPr="00B21CD0">
        <w:rPr>
          <w:sz w:val="22"/>
          <w:szCs w:val="22"/>
        </w:rPr>
        <w:t>лни/държавни помощи:</w:t>
      </w:r>
      <w:bookmarkEnd w:id="22"/>
    </w:p>
    <w:tbl>
      <w:tblPr>
        <w:tblStyle w:val="a9"/>
        <w:tblW w:w="0" w:type="auto"/>
        <w:tblLook w:val="04A0" w:firstRow="1" w:lastRow="0" w:firstColumn="1" w:lastColumn="0" w:noHBand="0" w:noVBand="1"/>
      </w:tblPr>
      <w:tblGrid>
        <w:gridCol w:w="9212"/>
      </w:tblGrid>
      <w:tr w:rsidR="004E655E" w:rsidRPr="00670DA1" w:rsidTr="001163C1">
        <w:tc>
          <w:tcPr>
            <w:tcW w:w="9212" w:type="dxa"/>
          </w:tcPr>
          <w:p w:rsidR="004E655E" w:rsidRPr="003C6A07" w:rsidRDefault="004E655E" w:rsidP="001163C1">
            <w:pPr>
              <w:jc w:val="both"/>
              <w:rPr>
                <w:rFonts w:ascii="Times New Roman" w:eastAsia="SimSun" w:hAnsi="Times New Roman" w:cs="Times New Roman"/>
                <w:sz w:val="24"/>
                <w:szCs w:val="24"/>
                <w:lang w:eastAsia="zh-CN"/>
              </w:rPr>
            </w:pPr>
            <w:r w:rsidRPr="003C6A07">
              <w:rPr>
                <w:rFonts w:ascii="Times New Roman" w:eastAsia="SimSun" w:hAnsi="Times New Roman" w:cs="Times New Roman"/>
                <w:sz w:val="24"/>
                <w:szCs w:val="24"/>
                <w:lang w:eastAsia="zh-CN"/>
              </w:rPr>
              <w:t>Предоставя се безвъзмездна финансова помощ за следните допустими за подпомагане дейности по подмярката: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изграждане, реконструкция, ремонт, оборудване и/или обзавеждане на спортна инфраструктура;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 xml:space="preserve">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w:t>
            </w:r>
            <w:r w:rsidRPr="003C6A07">
              <w:rPr>
                <w:rFonts w:eastAsia="SimSun"/>
                <w:lang w:eastAsia="zh-CN"/>
              </w:rPr>
              <w:lastRenderedPageBreak/>
              <w:t>прилежащите пространства;</w:t>
            </w:r>
          </w:p>
          <w:p w:rsidR="004E655E" w:rsidRPr="003C6A07" w:rsidRDefault="004E655E" w:rsidP="001163C1">
            <w:pPr>
              <w:pStyle w:val="af0"/>
              <w:numPr>
                <w:ilvl w:val="0"/>
                <w:numId w:val="11"/>
              </w:numPr>
              <w:jc w:val="both"/>
              <w:rPr>
                <w:rFonts w:eastAsia="SimSun"/>
                <w:lang w:eastAsia="zh-CN"/>
              </w:rPr>
            </w:pPr>
            <w:r w:rsidRPr="003C6A07">
              <w:rPr>
                <w:rFonts w:eastAsia="SimSun"/>
                <w:lang w:eastAsia="zh-CN"/>
              </w:rPr>
              <w:t>реконструкция, ремонт, оборудване и/или обзавеждане на общинска образователна инфраструктура с местно значение в селските райони.</w:t>
            </w:r>
          </w:p>
          <w:p w:rsidR="004E655E" w:rsidRPr="002476C0" w:rsidRDefault="004E655E" w:rsidP="001163C1">
            <w:pPr>
              <w:jc w:val="both"/>
              <w:rPr>
                <w:rFonts w:ascii="Times New Roman" w:hAnsi="Times New Roman" w:cs="Times New Roman"/>
                <w:b/>
                <w:i/>
                <w:sz w:val="24"/>
                <w:szCs w:val="24"/>
              </w:rPr>
            </w:pPr>
            <w:r>
              <w:rPr>
                <w:rFonts w:ascii="Times New Roman" w:hAnsi="Times New Roman" w:cs="Times New Roman"/>
                <w:sz w:val="24"/>
                <w:szCs w:val="24"/>
              </w:rPr>
              <w:t>1.</w:t>
            </w:r>
            <w:r w:rsidRPr="002476C0">
              <w:rPr>
                <w:rFonts w:ascii="Times New Roman" w:hAnsi="Times New Roman" w:cs="Times New Roman"/>
                <w:b/>
                <w:i/>
                <w:sz w:val="24"/>
                <w:szCs w:val="24"/>
              </w:rPr>
              <w:t xml:space="preserve">Строителство, реконструкция и/или рехабилитация на нови и съществуващи общински пътища, улици, тротоари и съоръженията и принадлежностите към тях. </w:t>
            </w:r>
          </w:p>
          <w:p w:rsidR="004E655E" w:rsidRPr="002476C0" w:rsidRDefault="004E655E" w:rsidP="001163C1">
            <w:pPr>
              <w:jc w:val="both"/>
              <w:rPr>
                <w:rFonts w:ascii="Times New Roman" w:hAnsi="Times New Roman" w:cs="Times New Roman"/>
                <w:b/>
                <w:i/>
                <w:sz w:val="24"/>
                <w:szCs w:val="24"/>
              </w:rPr>
            </w:pPr>
            <w:r w:rsidRPr="002476C0">
              <w:rPr>
                <w:rFonts w:ascii="Times New Roman" w:hAnsi="Times New Roman" w:cs="Times New Roman"/>
                <w:b/>
                <w:i/>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E655E" w:rsidRPr="002476C0"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2476C0">
              <w:rPr>
                <w:rFonts w:ascii="Times New Roman" w:hAnsi="Times New Roman" w:cs="Times New Roman"/>
                <w:sz w:val="24"/>
                <w:szCs w:val="24"/>
              </w:rPr>
              <w:t>Общинските улици, тротоари и площите за широко обществено ползване, за чиято реконструкция и/или рехабилизация, изграждане и/или обновяване може да бъде получено подпомагане, е инфраструктура с неикономическо предназначение и ползване,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2476C0">
              <w:rPr>
                <w:rFonts w:ascii="Times New Roman" w:hAnsi="Times New Roman" w:cs="Times New Roman"/>
                <w:sz w:val="24"/>
                <w:szCs w:val="24"/>
              </w:rPr>
              <w:t>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w:t>
            </w:r>
            <w:r>
              <w:rPr>
                <w:rFonts w:ascii="Times New Roman" w:hAnsi="Times New Roman" w:cs="Times New Roman"/>
                <w:sz w:val="24"/>
                <w:szCs w:val="24"/>
              </w:rPr>
              <w:t>исъла на чл. 107 от ДФЕС</w:t>
            </w:r>
          </w:p>
          <w:p w:rsidR="004E655E" w:rsidRPr="003C6A07" w:rsidRDefault="004E655E" w:rsidP="001163C1">
            <w:pPr>
              <w:jc w:val="both"/>
              <w:rPr>
                <w:rFonts w:ascii="Times New Roman" w:hAnsi="Times New Roman" w:cs="Times New Roman"/>
                <w:sz w:val="24"/>
                <w:szCs w:val="24"/>
              </w:rPr>
            </w:pPr>
            <w:r w:rsidRPr="003C6A07">
              <w:rPr>
                <w:rFonts w:ascii="Times New Roman" w:hAnsi="Times New Roman" w:cs="Times New Roman"/>
                <w:sz w:val="24"/>
                <w:szCs w:val="24"/>
              </w:rPr>
              <w:t xml:space="preserve"> </w:t>
            </w:r>
            <w:r w:rsidRPr="003C6A07">
              <w:rPr>
                <w:rFonts w:ascii="Times New Roman" w:hAnsi="Times New Roman" w:cs="Times New Roman"/>
                <w:b/>
                <w:i/>
                <w:sz w:val="24"/>
                <w:szCs w:val="24"/>
              </w:rPr>
              <w:t>2.Реконструкция, ремонт, оборудване и/или обзавеждане на общинска образователна инфраструктура с местно значение в селските райони.</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 образование, организирано в рамките на националната образователна система и контролирано от държавата, може да се счита за нестопанска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w:t>
            </w:r>
            <w:r w:rsidRPr="003C6A07">
              <w:rPr>
                <w:rFonts w:ascii="Times New Roman" w:hAnsi="Times New Roman" w:cs="Times New Roman"/>
                <w:sz w:val="24"/>
                <w:szCs w:val="24"/>
              </w:rPr>
              <w:lastRenderedPageBreak/>
              <w:t>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Местните власти са отговорни за предоставянето на образователни услуги в общинските детски градини, училищата и обслужващите звена. Общините осигуряват и контролират средствата за издръжката, изграждането, обзавеждането и основния ремонт на училищата, детските градини и обслужващите звена. 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rsidR="004E655E" w:rsidRPr="00294560" w:rsidRDefault="004E655E" w:rsidP="001163C1">
            <w:pPr>
              <w:jc w:val="both"/>
              <w:rPr>
                <w:rFonts w:ascii="Times New Roman" w:hAnsi="Times New Roman" w:cs="Times New Roman"/>
                <w:b/>
                <w:i/>
                <w:sz w:val="24"/>
                <w:szCs w:val="24"/>
              </w:rPr>
            </w:pPr>
            <w:r>
              <w:rPr>
                <w:rFonts w:ascii="Times New Roman" w:hAnsi="Times New Roman" w:cs="Times New Roman"/>
                <w:sz w:val="24"/>
                <w:szCs w:val="24"/>
              </w:rPr>
              <w:t>3</w:t>
            </w:r>
            <w:r w:rsidRPr="00294560">
              <w:rPr>
                <w:rFonts w:ascii="Times New Roman" w:hAnsi="Times New Roman" w:cs="Times New Roman"/>
                <w:b/>
                <w:i/>
                <w:sz w:val="24"/>
                <w:szCs w:val="24"/>
              </w:rPr>
              <w:t>. Реконструкция и/или ремонт на общински сгради, в които се предоставят обществени услуги, с цел подобряване на тяхната енергийна ефективност.</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Финансовото подпомагане е само за сгради, в които се предоставят обществени услуги. </w:t>
            </w:r>
          </w:p>
          <w:p w:rsidR="004E655E" w:rsidRPr="002476C0" w:rsidRDefault="004E655E" w:rsidP="001163C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567"/>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Финансовото подпомагане по горецитираните дейности </w:t>
            </w:r>
            <w:r w:rsidRPr="002476C0">
              <w:rPr>
                <w:rFonts w:ascii="Times New Roman" w:eastAsia="Calibri" w:hAnsi="Times New Roman" w:cs="Times New Roman"/>
                <w:b/>
                <w:sz w:val="24"/>
                <w:szCs w:val="24"/>
              </w:rPr>
              <w:t>няма да</w:t>
            </w:r>
            <w:r w:rsidRPr="002476C0">
              <w:rPr>
                <w:rFonts w:ascii="Times New Roman" w:eastAsia="Calibri" w:hAnsi="Times New Roman" w:cs="Times New Roman"/>
                <w:sz w:val="24"/>
                <w:szCs w:val="24"/>
              </w:rPr>
              <w:t xml:space="preserve"> </w:t>
            </w:r>
            <w:r w:rsidRPr="002476C0">
              <w:rPr>
                <w:rFonts w:ascii="Times New Roman" w:eastAsia="Calibri" w:hAnsi="Times New Roman" w:cs="Times New Roman"/>
                <w:b/>
                <w:sz w:val="24"/>
                <w:szCs w:val="24"/>
              </w:rPr>
              <w:t>представлява „държавна помощ“</w:t>
            </w:r>
            <w:r w:rsidRPr="002476C0">
              <w:rPr>
                <w:rFonts w:ascii="Times New Roman" w:eastAsia="Calibri" w:hAnsi="Times New Roman" w:cs="Times New Roman"/>
                <w:sz w:val="24"/>
                <w:szCs w:val="24"/>
              </w:rPr>
              <w:t xml:space="preserve"> по смисъла на чл. 107, параграф 1 от ДФЕС.</w:t>
            </w:r>
          </w:p>
          <w:p w:rsidR="004E655E" w:rsidRPr="002476C0" w:rsidRDefault="004E655E" w:rsidP="001163C1">
            <w:pPr>
              <w:jc w:val="both"/>
              <w:rPr>
                <w:rFonts w:ascii="Times New Roman" w:eastAsia="Times New Roman" w:hAnsi="Times New Roman" w:cs="Times New Roman"/>
                <w:b/>
                <w:i/>
                <w:iCs/>
                <w:sz w:val="24"/>
                <w:szCs w:val="24"/>
                <w:highlight w:val="white"/>
                <w:shd w:val="clear" w:color="auto" w:fill="FEFEFE"/>
              </w:rPr>
            </w:pPr>
            <w:r w:rsidRPr="002476C0">
              <w:rPr>
                <w:rFonts w:ascii="Times New Roman" w:eastAsia="Times New Roman" w:hAnsi="Times New Roman" w:cs="Times New Roman"/>
                <w:b/>
                <w:i/>
                <w:iCs/>
                <w:sz w:val="24"/>
                <w:szCs w:val="24"/>
                <w:highlight w:val="white"/>
                <w:shd w:val="clear" w:color="auto" w:fill="FEFEFE"/>
              </w:rPr>
              <w:t>Важно!!!</w:t>
            </w:r>
          </w:p>
          <w:p w:rsidR="004E655E" w:rsidRPr="00294560" w:rsidRDefault="004E655E" w:rsidP="001163C1">
            <w:pPr>
              <w:jc w:val="both"/>
              <w:rPr>
                <w:rFonts w:ascii="Times New Roman" w:hAnsi="Times New Roman" w:cs="Times New Roman"/>
                <w:sz w:val="24"/>
                <w:szCs w:val="24"/>
              </w:rPr>
            </w:pPr>
            <w:r>
              <w:rPr>
                <w:rFonts w:ascii="Times New Roman" w:eastAsia="Times New Roman" w:hAnsi="Times New Roman" w:cs="Times New Roman"/>
                <w:b/>
                <w:i/>
                <w:iCs/>
                <w:sz w:val="24"/>
                <w:szCs w:val="24"/>
                <w:highlight w:val="white"/>
                <w:shd w:val="clear" w:color="auto" w:fill="FEFEFE"/>
              </w:rPr>
              <w:t>О</w:t>
            </w:r>
            <w:r w:rsidRPr="002476C0">
              <w:rPr>
                <w:rFonts w:ascii="Times New Roman" w:eastAsia="Times New Roman" w:hAnsi="Times New Roman" w:cs="Times New Roman"/>
                <w:b/>
                <w:i/>
                <w:iCs/>
                <w:sz w:val="24"/>
                <w:szCs w:val="24"/>
                <w:highlight w:val="white"/>
                <w:shd w:val="clear" w:color="auto" w:fill="FEFEFE"/>
              </w:rPr>
              <w:t xml:space="preserve">бщината не може да предоставя под наем сградите и обектите, за които ще бъде предоставена финансова помощ за този вид дейност. В противен случай общината ще изпълнява икономическа дейност и съответно ще представлява </w:t>
            </w:r>
            <w:r w:rsidRPr="00294560">
              <w:rPr>
                <w:rFonts w:ascii="Times New Roman" w:hAnsi="Times New Roman" w:cs="Times New Roman"/>
                <w:sz w:val="24"/>
                <w:szCs w:val="24"/>
              </w:rPr>
              <w:t>предприятие по смисъла чл. 107 от ДФЕС.</w:t>
            </w:r>
          </w:p>
          <w:p w:rsidR="004E655E" w:rsidRPr="00294560" w:rsidRDefault="004E655E" w:rsidP="001163C1">
            <w:pPr>
              <w:jc w:val="both"/>
              <w:rPr>
                <w:rFonts w:ascii="Times New Roman" w:hAnsi="Times New Roman" w:cs="Times New Roman"/>
                <w:b/>
                <w:i/>
                <w:sz w:val="24"/>
                <w:szCs w:val="24"/>
              </w:rPr>
            </w:pPr>
            <w:r w:rsidRPr="00294560">
              <w:rPr>
                <w:rFonts w:ascii="Times New Roman" w:hAnsi="Times New Roman" w:cs="Times New Roman"/>
                <w:b/>
                <w:i/>
                <w:sz w:val="24"/>
                <w:szCs w:val="24"/>
              </w:rPr>
              <w:t>4.Изграждане,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Докато експлоатацията на мрежи за водоснабдяване и канализация представлява стопанска дейност, самото </w:t>
            </w:r>
            <w:r w:rsidRPr="003C6A07">
              <w:rPr>
                <w:rFonts w:ascii="Times New Roman" w:hAnsi="Times New Roman" w:cs="Times New Roman"/>
                <w:b/>
                <w:sz w:val="24"/>
                <w:szCs w:val="24"/>
              </w:rPr>
              <w:t>изграждане на всеобхватната мрежа за водоснабдяване и канализация</w:t>
            </w:r>
            <w:r w:rsidRPr="003C6A07">
              <w:rPr>
                <w:rFonts w:ascii="Times New Roman" w:hAnsi="Times New Roman" w:cs="Times New Roman"/>
                <w:sz w:val="24"/>
                <w:szCs w:val="24"/>
              </w:rPr>
              <w:t xml:space="preserve"> обикновено отговаря на условията посочени в точка </w:t>
            </w:r>
            <w:r w:rsidRPr="003C6A07">
              <w:rPr>
                <w:rFonts w:ascii="Times New Roman" w:hAnsi="Times New Roman" w:cs="Times New Roman"/>
                <w:sz w:val="24"/>
                <w:szCs w:val="24"/>
              </w:rPr>
              <w:lastRenderedPageBreak/>
              <w:t>211 от Известие на Комисията</w:t>
            </w:r>
            <w:r w:rsidRPr="003C6A07" w:rsidDel="00830792">
              <w:rPr>
                <w:rFonts w:ascii="Times New Roman" w:hAnsi="Times New Roman" w:cs="Times New Roman"/>
                <w:sz w:val="24"/>
                <w:szCs w:val="24"/>
              </w:rPr>
              <w:t xml:space="preserve"> </w:t>
            </w:r>
            <w:r w:rsidRPr="003C6A07">
              <w:rPr>
                <w:rFonts w:ascii="Times New Roman" w:hAnsi="Times New Roman" w:cs="Times New Roman"/>
                <w:sz w:val="24"/>
                <w:szCs w:val="24"/>
              </w:rPr>
              <w:t>(има обстоятелства, при които някои инфраструктури не срещат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Липсата на пряка конкуренция между инфраструктурите е най-характерна за широкообхватните мрежови инфраструктури, които са естествени монополи, т. е. чието дублиране би било икономически нецелесъобразно) и поради това неговото финансиране обикновено не нарушава конкуренцията или не засяга търговията между държавите членки (съгласно точка 221 от Известие на Комисията.  След извършване на инвестицията, стойността на финансовото подпомагане за нея не следва да бъде калкулирана от оператора на услугата в цената на предоставената услуга.</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За да е възможно цялото публично финансиране на даден проект да попадне </w:t>
            </w:r>
            <w:r w:rsidRPr="003C6A07">
              <w:rPr>
                <w:rFonts w:ascii="Times New Roman" w:hAnsi="Times New Roman" w:cs="Times New Roman"/>
                <w:b/>
                <w:sz w:val="24"/>
                <w:szCs w:val="24"/>
              </w:rPr>
              <w:t>извън приложното поле на правилата за държавни помощи</w:t>
            </w:r>
            <w:r w:rsidRPr="003C6A07">
              <w:rPr>
                <w:rFonts w:ascii="Times New Roman" w:hAnsi="Times New Roman" w:cs="Times New Roman"/>
                <w:sz w:val="24"/>
                <w:szCs w:val="24"/>
              </w:rPr>
              <w:t>, държавата-член трябва да гарантира, че финансирането, предоставено за изграждането на инфраструктура, не може да се използва за кръстосано субсидиране или за непряко субсидиране на други стопански дейности, включително за управление на инфраструктурата. Трябва да се гарантира, че собственикът на инфраструктурата, ако упражнява някаква друга стопанска дейност, като се води отделно счетоводство, разходите и приходите се разпределят по подходящ начин  и да се гарантира, че други дейности не се възползват от публично финансиране (съгласно точка 212 от Известие на Комисията ).</w:t>
            </w:r>
          </w:p>
          <w:p w:rsidR="004E655E" w:rsidRPr="003C6A07"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w:t>
            </w:r>
            <w:r w:rsidRPr="003C6A07">
              <w:rPr>
                <w:rFonts w:ascii="Times New Roman" w:hAnsi="Times New Roman" w:cs="Times New Roman"/>
                <w:sz w:val="24"/>
                <w:szCs w:val="24"/>
              </w:rPr>
              <w:t xml:space="preserve">Решението на национално ниво относно приложимия режим по държавни помощи за ВиК сектора, което не е финализирано, е че финансирането с публични средства на инфраструктурата в отрасъл водоснабдяване и канализация попада извън обхвата на държавните помощи, по смисъла на чл. 107, параграф 1 от ДФЕС. </w:t>
            </w:r>
          </w:p>
          <w:p w:rsidR="00756A7E" w:rsidRDefault="00756A7E" w:rsidP="001163C1">
            <w:pPr>
              <w:jc w:val="both"/>
              <w:rPr>
                <w:rFonts w:ascii="Times New Roman" w:eastAsia="Times New Roman" w:hAnsi="Times New Roman" w:cs="Times New Roman"/>
                <w:b/>
                <w:i/>
                <w:iCs/>
                <w:sz w:val="24"/>
                <w:szCs w:val="24"/>
                <w:highlight w:val="white"/>
                <w:shd w:val="clear" w:color="auto" w:fill="FEFEFE"/>
              </w:rPr>
            </w:pPr>
          </w:p>
          <w:p w:rsidR="004E655E" w:rsidRPr="00294560" w:rsidRDefault="004E655E" w:rsidP="001163C1">
            <w:pPr>
              <w:jc w:val="both"/>
              <w:rPr>
                <w:rFonts w:ascii="Times New Roman" w:hAnsi="Times New Roman" w:cs="Times New Roman"/>
                <w:b/>
                <w:i/>
                <w:sz w:val="24"/>
                <w:szCs w:val="24"/>
              </w:rPr>
            </w:pPr>
            <w:r>
              <w:rPr>
                <w:rFonts w:ascii="Times New Roman" w:eastAsia="Times New Roman" w:hAnsi="Times New Roman" w:cs="Times New Roman"/>
                <w:b/>
                <w:i/>
                <w:iCs/>
                <w:sz w:val="24"/>
                <w:szCs w:val="24"/>
                <w:highlight w:val="white"/>
                <w:shd w:val="clear" w:color="auto" w:fill="FEFEFE"/>
              </w:rPr>
              <w:t>5.</w:t>
            </w:r>
            <w:r w:rsidRPr="002476C0">
              <w:rPr>
                <w:rFonts w:ascii="Times New Roman" w:eastAsia="Times New Roman" w:hAnsi="Times New Roman" w:cs="Times New Roman"/>
                <w:b/>
                <w:i/>
                <w:iCs/>
                <w:sz w:val="24"/>
                <w:szCs w:val="24"/>
                <w:highlight w:val="white"/>
                <w:shd w:val="clear" w:color="auto" w:fill="FEFEFE"/>
              </w:rPr>
              <w:t>А</w:t>
            </w:r>
            <w:r w:rsidRPr="00294560">
              <w:rPr>
                <w:rFonts w:ascii="Times New Roman" w:hAnsi="Times New Roman" w:cs="Times New Roman"/>
                <w:sz w:val="24"/>
                <w:szCs w:val="24"/>
              </w:rPr>
              <w:t xml:space="preserve">) </w:t>
            </w:r>
            <w:r w:rsidRPr="00294560">
              <w:rPr>
                <w:rFonts w:ascii="Times New Roman" w:hAnsi="Times New Roman" w:cs="Times New Roman"/>
                <w:b/>
                <w:i/>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E655E" w:rsidRPr="00294560" w:rsidRDefault="004E655E" w:rsidP="001163C1">
            <w:pPr>
              <w:jc w:val="both"/>
              <w:rPr>
                <w:rFonts w:ascii="Times New Roman" w:hAnsi="Times New Roman" w:cs="Times New Roman"/>
                <w:b/>
                <w:i/>
                <w:sz w:val="24"/>
                <w:szCs w:val="24"/>
              </w:rPr>
            </w:pPr>
            <w:r w:rsidRPr="00294560">
              <w:rPr>
                <w:rFonts w:ascii="Times New Roman" w:hAnsi="Times New Roman" w:cs="Times New Roman"/>
                <w:b/>
                <w:i/>
                <w:sz w:val="24"/>
                <w:szCs w:val="24"/>
              </w:rPr>
              <w:t>Б) Изграждане, реконструкция, ремонт, оборудване и/или обзавеждане на спортна инфраструктура;</w:t>
            </w:r>
          </w:p>
          <w:p w:rsidR="004E655E" w:rsidRPr="00294560" w:rsidRDefault="004E655E" w:rsidP="001163C1">
            <w:pPr>
              <w:jc w:val="both"/>
              <w:rPr>
                <w:rFonts w:ascii="Times New Roman" w:hAnsi="Times New Roman" w:cs="Times New Roman"/>
                <w:b/>
                <w:i/>
                <w:sz w:val="24"/>
                <w:szCs w:val="24"/>
              </w:rPr>
            </w:pPr>
            <w:r w:rsidRPr="00294560">
              <w:rPr>
                <w:rFonts w:ascii="Times New Roman" w:hAnsi="Times New Roman" w:cs="Times New Roman"/>
                <w:b/>
                <w:i/>
                <w:sz w:val="24"/>
                <w:szCs w:val="24"/>
              </w:rPr>
              <w:t xml:space="preserve">В) Изграждане, реконструкция, ремонт, реставрация, закупуване на оборудване и/или обзавеждане на обекти, свързани с културния живот, вкл. мобилни такива, </w:t>
            </w:r>
            <w:r w:rsidRPr="00294560">
              <w:rPr>
                <w:rFonts w:ascii="Times New Roman" w:hAnsi="Times New Roman" w:cs="Times New Roman"/>
                <w:b/>
                <w:i/>
                <w:sz w:val="24"/>
                <w:szCs w:val="24"/>
              </w:rPr>
              <w:lastRenderedPageBreak/>
              <w:t>вкл. и дейности по вертикалната планировка и подобряване на прилежащите пространства.</w:t>
            </w:r>
          </w:p>
          <w:p w:rsidR="004E655E" w:rsidRPr="00294560" w:rsidRDefault="004E655E" w:rsidP="001163C1">
            <w:pPr>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294560">
              <w:rPr>
                <w:rFonts w:ascii="Times New Roman" w:hAnsi="Times New Roman" w:cs="Times New Roman"/>
                <w:sz w:val="24"/>
                <w:szCs w:val="24"/>
              </w:rPr>
              <w:t>За тези дейности в насоките си МИГ</w:t>
            </w:r>
            <w:r w:rsidR="00C0238A">
              <w:rPr>
                <w:rFonts w:ascii="Times New Roman" w:hAnsi="Times New Roman" w:cs="Times New Roman"/>
                <w:sz w:val="24"/>
                <w:szCs w:val="24"/>
              </w:rPr>
              <w:t xml:space="preserve"> Чирпан</w:t>
            </w:r>
            <w:r w:rsidRPr="00294560">
              <w:rPr>
                <w:rFonts w:ascii="Times New Roman" w:hAnsi="Times New Roman" w:cs="Times New Roman"/>
                <w:sz w:val="24"/>
                <w:szCs w:val="24"/>
              </w:rPr>
              <w:t xml:space="preserve">  определ</w:t>
            </w:r>
            <w:r w:rsidR="00C0238A">
              <w:rPr>
                <w:rFonts w:ascii="Times New Roman" w:hAnsi="Times New Roman" w:cs="Times New Roman"/>
                <w:sz w:val="24"/>
                <w:szCs w:val="24"/>
              </w:rPr>
              <w:t>я</w:t>
            </w:r>
            <w:r w:rsidRPr="00294560">
              <w:rPr>
                <w:rFonts w:ascii="Times New Roman" w:hAnsi="Times New Roman" w:cs="Times New Roman"/>
                <w:sz w:val="24"/>
                <w:szCs w:val="24"/>
              </w:rPr>
              <w:t xml:space="preserve"> два режима: </w:t>
            </w:r>
            <w:r w:rsidRPr="00294560">
              <w:rPr>
                <w:rFonts w:ascii="Times New Roman" w:hAnsi="Times New Roman" w:cs="Times New Roman"/>
                <w:b/>
                <w:sz w:val="24"/>
                <w:szCs w:val="24"/>
              </w:rPr>
              <w:t>„непомощ“ и „помощ“</w:t>
            </w:r>
          </w:p>
          <w:p w:rsidR="004E655E" w:rsidRPr="002476C0" w:rsidRDefault="004E655E" w:rsidP="001163C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567"/>
              <w:contextualSpacing/>
              <w:jc w:val="both"/>
              <w:rPr>
                <w:rFonts w:ascii="Times New Roman" w:eastAsia="Calibri" w:hAnsi="Times New Roman" w:cs="Times New Roman"/>
                <w:b/>
                <w:sz w:val="24"/>
                <w:szCs w:val="24"/>
              </w:rPr>
            </w:pPr>
            <w:r w:rsidRPr="002476C0">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2476C0">
              <w:rPr>
                <w:rFonts w:ascii="Times New Roman" w:eastAsia="Calibri" w:hAnsi="Times New Roman" w:cs="Times New Roman"/>
                <w:b/>
                <w:sz w:val="24"/>
                <w:szCs w:val="24"/>
                <w:lang w:val="ru-RU"/>
              </w:rPr>
              <w:t>)</w:t>
            </w:r>
            <w:r w:rsidRPr="002476C0">
              <w:rPr>
                <w:rFonts w:ascii="Times New Roman" w:eastAsia="Calibri" w:hAnsi="Times New Roman" w:cs="Times New Roman"/>
                <w:b/>
                <w:sz w:val="24"/>
                <w:szCs w:val="24"/>
              </w:rPr>
              <w:t xml:space="preserve"> обособяване на икономическата и неикономическа дейност.</w:t>
            </w:r>
          </w:p>
          <w:p w:rsidR="004E655E" w:rsidRDefault="004E655E" w:rsidP="001163C1">
            <w:pPr>
              <w:jc w:val="both"/>
              <w:rPr>
                <w:rFonts w:ascii="Times New Roman" w:hAnsi="Times New Roman" w:cs="Times New Roman"/>
                <w:sz w:val="24"/>
                <w:szCs w:val="24"/>
              </w:rPr>
            </w:pPr>
          </w:p>
          <w:p w:rsidR="004E655E" w:rsidRPr="003C6A07"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u w:val="single"/>
              </w:rPr>
            </w:pPr>
            <w:r w:rsidRPr="003C6A07">
              <w:rPr>
                <w:rFonts w:ascii="Times New Roman" w:eastAsia="Calibri" w:hAnsi="Times New Roman" w:cs="Times New Roman"/>
                <w:sz w:val="24"/>
                <w:szCs w:val="24"/>
                <w:u w:val="single"/>
              </w:rPr>
              <w:t>1.Определяне на финансовото подпомагане като „</w:t>
            </w:r>
            <w:r w:rsidRPr="003C6A07">
              <w:rPr>
                <w:rFonts w:ascii="Times New Roman" w:eastAsia="Calibri" w:hAnsi="Times New Roman" w:cs="Times New Roman"/>
                <w:b/>
                <w:sz w:val="24"/>
                <w:szCs w:val="24"/>
                <w:u w:val="single"/>
              </w:rPr>
              <w:t>непомощ“.</w:t>
            </w:r>
            <w:r w:rsidRPr="003C6A07">
              <w:rPr>
                <w:rFonts w:ascii="Times New Roman" w:eastAsia="Calibri" w:hAnsi="Times New Roman" w:cs="Times New Roman"/>
                <w:sz w:val="24"/>
                <w:szCs w:val="24"/>
                <w:u w:val="single"/>
              </w:rPr>
              <w:t xml:space="preserve"> </w:t>
            </w:r>
          </w:p>
          <w:p w:rsidR="004E655E" w:rsidRPr="003C6A07" w:rsidRDefault="00F02F85"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МИГ определя </w:t>
            </w:r>
            <w:r w:rsidR="004E655E" w:rsidRPr="003C6A07">
              <w:rPr>
                <w:rFonts w:ascii="Times New Roman" w:eastAsia="Calibri" w:hAnsi="Times New Roman" w:cs="Times New Roman"/>
                <w:sz w:val="24"/>
                <w:szCs w:val="24"/>
              </w:rPr>
              <w:t xml:space="preserve"> финансово подпомагане</w:t>
            </w:r>
            <w:r>
              <w:t xml:space="preserve"> </w:t>
            </w:r>
            <w:r w:rsidRPr="00F02F85">
              <w:rPr>
                <w:rFonts w:ascii="Times New Roman" w:eastAsia="Calibri" w:hAnsi="Times New Roman" w:cs="Times New Roman"/>
                <w:sz w:val="24"/>
                <w:szCs w:val="24"/>
              </w:rPr>
              <w:t xml:space="preserve">като „непомощ“. </w:t>
            </w:r>
            <w:r w:rsidR="004E655E" w:rsidRPr="003C6A07">
              <w:rPr>
                <w:rFonts w:ascii="Times New Roman" w:eastAsia="Calibri" w:hAnsi="Times New Roman" w:cs="Times New Roman"/>
                <w:sz w:val="24"/>
                <w:szCs w:val="24"/>
              </w:rPr>
              <w:t xml:space="preserve"> когато:</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 xml:space="preserve">интервенциите са върху публични общински сгради от социалната или спортна инфраструктура, която е общинска собственост; </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интервенциите са върху обекти, свързани с културния живот, които са общинска собственост, читалища, музеи и библиотеки, архелогически обекти и др.;</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социалната инфраструктура е за предоставяне на услуги с неикономически характер;</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спорната инфраструктура е за услуги със свободен обществен достъп и с неикономически характер;</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дейностите в тези културни обекти са организирани по нетърговски начин и са от нестопанско естество;</w:t>
            </w:r>
          </w:p>
          <w:p w:rsidR="004E655E" w:rsidRPr="003C6A07" w:rsidRDefault="004E655E" w:rsidP="001163C1">
            <w:pPr>
              <w:pStyle w:val="af0"/>
              <w:widowControl w:val="0"/>
              <w:numPr>
                <w:ilvl w:val="0"/>
                <w:numId w:val="11"/>
              </w:numPr>
              <w:autoSpaceDE w:val="0"/>
              <w:autoSpaceDN w:val="0"/>
              <w:adjustRightInd w:val="0"/>
              <w:spacing w:before="120"/>
              <w:jc w:val="both"/>
              <w:rPr>
                <w:rFonts w:eastAsia="Calibri"/>
              </w:rPr>
            </w:pPr>
            <w:r w:rsidRPr="003C6A07">
              <w:rPr>
                <w:rFonts w:eastAsia="Calibri"/>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Подпомагането по тези дейности в рамките на СВОМР има изключително локално въздействие и води до подобряване на условията за живот само на територията на МИГ.</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w:t>
            </w:r>
            <w:r w:rsidRPr="002476C0">
              <w:rPr>
                <w:rFonts w:ascii="Times New Roman" w:eastAsia="Calibri" w:hAnsi="Times New Roman" w:cs="Times New Roman"/>
                <w:sz w:val="24"/>
                <w:szCs w:val="24"/>
              </w:rPr>
              <w:lastRenderedPageBreak/>
              <w:t xml:space="preserve">мярката няма влияние върху условията на трансграничните инвестиции (съгласно точка 196 от Известие на Комисията ). </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 xml:space="preserve">В случай на финансово подпомагане само за </w:t>
            </w:r>
            <w:r w:rsidRPr="002476C0">
              <w:rPr>
                <w:rFonts w:ascii="Times New Roman" w:eastAsia="Calibri" w:hAnsi="Times New Roman" w:cs="Times New Roman"/>
                <w:b/>
                <w:sz w:val="24"/>
                <w:szCs w:val="24"/>
              </w:rPr>
              <w:t>нестопански дейности</w:t>
            </w:r>
            <w:r w:rsidRPr="002476C0">
              <w:rPr>
                <w:rFonts w:ascii="Times New Roman" w:eastAsia="Calibri" w:hAnsi="Times New Roman" w:cs="Times New Roman"/>
                <w:sz w:val="24"/>
                <w:szCs w:val="24"/>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rsidR="004E655E" w:rsidRPr="002476C0" w:rsidRDefault="004E655E" w:rsidP="001163C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567"/>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Финансовото подпомагане по горецитираните дейности </w:t>
            </w:r>
            <w:r w:rsidRPr="002476C0">
              <w:rPr>
                <w:rFonts w:ascii="Times New Roman" w:eastAsia="Calibri" w:hAnsi="Times New Roman" w:cs="Times New Roman"/>
                <w:b/>
                <w:sz w:val="24"/>
                <w:szCs w:val="24"/>
              </w:rPr>
              <w:t>няма да представлява „държавна помощ“</w:t>
            </w:r>
            <w:r w:rsidRPr="002476C0">
              <w:rPr>
                <w:rFonts w:ascii="Times New Roman" w:eastAsia="Calibri" w:hAnsi="Times New Roman" w:cs="Times New Roman"/>
                <w:sz w:val="24"/>
                <w:szCs w:val="24"/>
              </w:rPr>
              <w:t xml:space="preserve"> по смисъла на чл. 107, параграф 1 от ДФЕС.</w:t>
            </w:r>
          </w:p>
          <w:p w:rsidR="004E655E" w:rsidRPr="003C6A07"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u w:val="single"/>
              </w:rPr>
            </w:pPr>
            <w:r w:rsidRPr="003C6A07">
              <w:rPr>
                <w:rFonts w:ascii="Times New Roman" w:eastAsia="Calibri" w:hAnsi="Times New Roman" w:cs="Times New Roman"/>
                <w:sz w:val="24"/>
                <w:szCs w:val="24"/>
                <w:u w:val="single"/>
              </w:rPr>
              <w:t xml:space="preserve">2.Определяне на финансовото подпомагане като </w:t>
            </w:r>
            <w:r w:rsidR="00FD1C36">
              <w:rPr>
                <w:rFonts w:ascii="Times New Roman" w:eastAsia="Calibri" w:hAnsi="Times New Roman" w:cs="Times New Roman"/>
                <w:b/>
                <w:sz w:val="24"/>
                <w:szCs w:val="24"/>
                <w:u w:val="single"/>
              </w:rPr>
              <w:t>„помощ“ – общи правила</w:t>
            </w:r>
          </w:p>
          <w:p w:rsidR="00F02F85" w:rsidRDefault="00F02F85"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3C6A07">
              <w:rPr>
                <w:rFonts w:ascii="Times New Roman" w:eastAsia="Calibri" w:hAnsi="Times New Roman" w:cs="Times New Roman"/>
                <w:b/>
                <w:sz w:val="24"/>
                <w:szCs w:val="24"/>
              </w:rPr>
              <w:t>представлява „държавна помощ“</w:t>
            </w:r>
            <w:r w:rsidRPr="002476C0">
              <w:rPr>
                <w:rFonts w:ascii="Times New Roman" w:eastAsia="Calibri" w:hAnsi="Times New Roman" w:cs="Times New Roman"/>
                <w:sz w:val="24"/>
                <w:szCs w:val="24"/>
              </w:rPr>
              <w:t xml:space="preserve"> по смисъла на чл. 107, параграф 1 от ДФЕС. </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дейностите по буквите А</w:t>
            </w:r>
            <w:r w:rsidRPr="00294560">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В</w:t>
            </w:r>
            <w:r w:rsidRPr="002945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 прилага </w:t>
            </w:r>
            <w:r w:rsidRPr="002476C0">
              <w:rPr>
                <w:rFonts w:ascii="Times New Roman" w:eastAsia="Calibri" w:hAnsi="Times New Roman" w:cs="Times New Roman"/>
                <w:sz w:val="24"/>
                <w:szCs w:val="24"/>
              </w:rPr>
              <w:t>Регламент (ЕС) № 1407/2013</w:t>
            </w:r>
            <w:r>
              <w:rPr>
                <w:rFonts w:ascii="Times New Roman" w:eastAsia="Calibri" w:hAnsi="Times New Roman" w:cs="Times New Roman"/>
                <w:sz w:val="24"/>
                <w:szCs w:val="24"/>
              </w:rPr>
              <w:t>.</w:t>
            </w:r>
            <w:r w:rsidRPr="002476C0">
              <w:rPr>
                <w:rFonts w:ascii="Times New Roman" w:eastAsia="Calibri" w:hAnsi="Times New Roman" w:cs="Times New Roman"/>
                <w:sz w:val="24"/>
                <w:szCs w:val="24"/>
              </w:rPr>
              <w:t xml:space="preserve"> </w:t>
            </w: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Съгласно приложното поле на Регламент (ЕС) № 1407/2013 и чл. 5 от Закона за държавните помощи подпомагането по подмерките ще се разглежда по общите правила за държавни помощи.</w:t>
            </w: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целите на </w:t>
            </w:r>
            <w:r w:rsidRPr="002476C0">
              <w:rPr>
                <w:rFonts w:ascii="Times New Roman" w:eastAsia="Calibri" w:hAnsi="Times New Roman" w:cs="Times New Roman"/>
                <w:sz w:val="24"/>
                <w:szCs w:val="24"/>
              </w:rPr>
              <w:t>Регламент (ЕС) № 1407/2013</w:t>
            </w:r>
            <w:r>
              <w:rPr>
                <w:rFonts w:ascii="Times New Roman" w:eastAsia="Calibri" w:hAnsi="Times New Roman" w:cs="Times New Roman"/>
                <w:sz w:val="24"/>
                <w:szCs w:val="24"/>
              </w:rPr>
              <w:t xml:space="preserve"> се прилагат следните определения:</w:t>
            </w:r>
          </w:p>
          <w:p w:rsidR="004E655E" w:rsidRPr="005544AA"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-„селскостопански продукти“ са продукти, изброени в Приложение I към Договора, с изключение на продуктите на рибарството и аквакултурите, включени в приложното поле на Регламент (ЕО) 104/2000;</w:t>
            </w:r>
          </w:p>
          <w:p w:rsidR="004E655E" w:rsidRPr="005544AA"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rsidR="004E655E"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rsidR="004E655E" w:rsidRDefault="004E655E" w:rsidP="001163C1">
            <w:pPr>
              <w:pStyle w:val="af6"/>
              <w:ind w:left="0" w:right="265"/>
              <w:jc w:val="both"/>
            </w:pPr>
            <w:r>
              <w:t xml:space="preserve">           Общият размер на помощта „de minimis“, предоставяна във всяка държава членка на едно и също предприятие, не надхвърля 200 000 EUR за период от три бюджетни години.</w:t>
            </w:r>
          </w:p>
          <w:p w:rsidR="004E655E" w:rsidRDefault="004E655E" w:rsidP="001163C1">
            <w:pPr>
              <w:pStyle w:val="af6"/>
              <w:ind w:left="0" w:right="257"/>
              <w:jc w:val="both"/>
            </w:pPr>
            <w:r>
              <w:lastRenderedPageBreak/>
              <w:t xml:space="preserve">           Общият размер на помощта „de minimis“, предоставяна във всяка държава членка на едно и също предприятие, което осъществява сухопътни товарни превози за чужда сметка или срещу възнаграждение, не надхвърля 100 000 EUR за период от три бюджетни години. Тази помощ „de minimis“ не се използва за придобиването на товарни автомобили за сухопътен транспорт.</w:t>
            </w:r>
          </w:p>
          <w:p w:rsidR="004E655E" w:rsidRDefault="004E655E" w:rsidP="001163C1">
            <w:pPr>
              <w:pStyle w:val="af6"/>
              <w:ind w:left="0" w:right="262"/>
              <w:jc w:val="both"/>
            </w:pPr>
            <w:r>
              <w:t xml:space="preserve">           Ако дадено предприятие изпълнява сухопътни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EUR и че помощите „de minimis“ не се използват за придобиване на товарни автомобили.</w:t>
            </w:r>
          </w:p>
          <w:p w:rsidR="004E655E" w:rsidRPr="002476C0" w:rsidRDefault="004E655E" w:rsidP="001163C1">
            <w:pPr>
              <w:widowControl w:val="0"/>
              <w:autoSpaceDE w:val="0"/>
              <w:autoSpaceDN w:val="0"/>
              <w:adjustRightInd w:val="0"/>
              <w:spacing w:before="120"/>
              <w:contextualSpacing/>
              <w:jc w:val="both"/>
              <w:rPr>
                <w:rFonts w:ascii="Times New Roman" w:eastAsia="Calibri" w:hAnsi="Times New Roman" w:cs="Times New Roman"/>
                <w:sz w:val="24"/>
                <w:szCs w:val="24"/>
              </w:rPr>
            </w:pPr>
          </w:p>
          <w:p w:rsidR="004E655E" w:rsidRPr="002476C0" w:rsidRDefault="004E655E" w:rsidP="001163C1">
            <w:pPr>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76C0">
              <w:rPr>
                <w:rFonts w:ascii="Times New Roman" w:eastAsia="Calibri" w:hAnsi="Times New Roman" w:cs="Times New Roman"/>
                <w:sz w:val="24"/>
                <w:szCs w:val="24"/>
              </w:rPr>
              <w:t xml:space="preserve">С оглед изпълнението на условията на Регламент № 1407/2013 на Комисията от 18 декември 2013 относно прилагането на членове 107 и 108 от Договора за функционирането на Европейския съюз към помощта </w:t>
            </w:r>
            <w:r w:rsidRPr="002476C0">
              <w:rPr>
                <w:rFonts w:ascii="Times New Roman" w:eastAsia="Calibri" w:hAnsi="Times New Roman" w:cs="Times New Roman"/>
                <w:i/>
                <w:sz w:val="24"/>
                <w:szCs w:val="24"/>
                <w:lang w:val="en-US"/>
              </w:rPr>
              <w:t>de</w:t>
            </w:r>
            <w:r w:rsidRPr="00FD1C36">
              <w:rPr>
                <w:rFonts w:ascii="Times New Roman" w:eastAsia="Calibri" w:hAnsi="Times New Roman" w:cs="Times New Roman"/>
                <w:i/>
                <w:sz w:val="24"/>
                <w:szCs w:val="24"/>
                <w:lang w:val="ru-RU"/>
              </w:rPr>
              <w:t xml:space="preserve"> </w:t>
            </w:r>
            <w:r w:rsidRPr="002476C0">
              <w:rPr>
                <w:rFonts w:ascii="Times New Roman" w:eastAsia="Calibri" w:hAnsi="Times New Roman" w:cs="Times New Roman"/>
                <w:i/>
                <w:sz w:val="24"/>
                <w:szCs w:val="24"/>
                <w:lang w:val="en-US"/>
              </w:rPr>
              <w:t>minimis</w:t>
            </w:r>
            <w:r w:rsidRPr="002476C0">
              <w:rPr>
                <w:rFonts w:ascii="Times New Roman" w:eastAsia="Calibri" w:hAnsi="Times New Roman" w:cs="Times New Roman"/>
                <w:i/>
                <w:sz w:val="24"/>
                <w:szCs w:val="24"/>
              </w:rPr>
              <w:t>,</w:t>
            </w:r>
            <w:r w:rsidRPr="00FD1C36">
              <w:rPr>
                <w:rFonts w:ascii="Times New Roman" w:eastAsia="Calibri" w:hAnsi="Times New Roman" w:cs="Times New Roman"/>
                <w:sz w:val="24"/>
                <w:szCs w:val="24"/>
                <w:lang w:val="ru-RU"/>
              </w:rPr>
              <w:t xml:space="preserve"> </w:t>
            </w:r>
            <w:r w:rsidRPr="002476C0">
              <w:rPr>
                <w:rFonts w:ascii="Times New Roman" w:eastAsia="Calibri" w:hAnsi="Times New Roman" w:cs="Times New Roman"/>
                <w:sz w:val="24"/>
                <w:szCs w:val="24"/>
              </w:rPr>
              <w:t xml:space="preserve">следва да </w:t>
            </w:r>
            <w:r>
              <w:rPr>
                <w:rFonts w:ascii="Times New Roman" w:eastAsia="Calibri" w:hAnsi="Times New Roman" w:cs="Times New Roman"/>
                <w:sz w:val="24"/>
                <w:szCs w:val="24"/>
              </w:rPr>
              <w:t xml:space="preserve">се прилагат следните </w:t>
            </w:r>
            <w:r w:rsidRPr="002476C0">
              <w:rPr>
                <w:rFonts w:ascii="Times New Roman" w:eastAsia="Calibri" w:hAnsi="Times New Roman" w:cs="Times New Roman"/>
                <w:sz w:val="24"/>
                <w:szCs w:val="24"/>
              </w:rPr>
              <w:t>условията:</w:t>
            </w:r>
          </w:p>
          <w:p w:rsidR="004E655E" w:rsidRPr="002476C0" w:rsidRDefault="004E655E" w:rsidP="001163C1">
            <w:pPr>
              <w:spacing w:before="120"/>
              <w:contextualSpacing/>
              <w:jc w:val="both"/>
              <w:rPr>
                <w:rFonts w:ascii="Times New Roman" w:eastAsia="Calibri" w:hAnsi="Times New Roman" w:cs="Times New Roman"/>
                <w:sz w:val="24"/>
                <w:szCs w:val="24"/>
              </w:rPr>
            </w:pP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4E655E" w:rsidRPr="002476C0" w:rsidRDefault="004E655E" w:rsidP="001163C1">
            <w:pPr>
              <w:spacing w:before="120"/>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Предоставянето на помощта не може да е обвързано с преференциалното използване на национални продукти спрямо вносни такива.</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Когато с отпускането на нова помощ de minimis може да бъде надвишен съответния таван, никоя част от тази нова помощ не може да попада в приложното поле на </w:t>
            </w:r>
            <w:r w:rsidRPr="002476C0">
              <w:rPr>
                <w:rFonts w:ascii="Times New Roman" w:eastAsia="Calibri" w:hAnsi="Times New Roman" w:cs="Times New Roman"/>
                <w:sz w:val="24"/>
                <w:szCs w:val="24"/>
              </w:rPr>
              <w:lastRenderedPageBreak/>
              <w:t>Регламента.</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предприятието кандидат;</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предприятията, с които предприятието кандидат образува „едно и също предприятие“</w:t>
            </w:r>
            <w:r w:rsidRPr="002476C0">
              <w:rPr>
                <w:rFonts w:ascii="Times New Roman" w:eastAsia="Times New Roman" w:hAnsi="Times New Roman" w:cs="Times New Roman"/>
                <w:b/>
                <w:sz w:val="24"/>
                <w:szCs w:val="24"/>
                <w:vertAlign w:val="superscript"/>
                <w:lang w:eastAsia="pl-PL"/>
              </w:rPr>
              <w:t xml:space="preserve"> </w:t>
            </w:r>
            <w:r w:rsidRPr="002476C0">
              <w:rPr>
                <w:rFonts w:ascii="Times New Roman" w:eastAsia="Times New Roman" w:hAnsi="Times New Roman" w:cs="Times New Roman"/>
                <w:b/>
                <w:sz w:val="24"/>
                <w:szCs w:val="24"/>
                <w:vertAlign w:val="superscript"/>
                <w:lang w:eastAsia="pl-PL"/>
              </w:rPr>
              <w:footnoteReference w:id="1"/>
            </w:r>
            <w:r w:rsidRPr="002476C0">
              <w:rPr>
                <w:rFonts w:ascii="Times New Roman" w:eastAsia="Calibri" w:hAnsi="Times New Roman" w:cs="Times New Roman"/>
                <w:sz w:val="24"/>
                <w:szCs w:val="24"/>
              </w:rPr>
              <w:t xml:space="preserve"> по смисъла на чл. 2, пар. 2 на Регламент (ЕС) № 1407/2013;</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4E655E" w:rsidRPr="002476C0" w:rsidRDefault="004E655E" w:rsidP="001163C1">
            <w:pPr>
              <w:spacing w:before="120"/>
              <w:ind w:left="720"/>
              <w:contextualSpacing/>
              <w:jc w:val="both"/>
              <w:rPr>
                <w:rFonts w:ascii="Times New Roman" w:eastAsia="Calibri" w:hAnsi="Times New Roman" w:cs="Times New Roman"/>
                <w:sz w:val="24"/>
                <w:szCs w:val="24"/>
              </w:rPr>
            </w:pP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rsidR="004E655E" w:rsidRPr="002476C0" w:rsidRDefault="004E655E" w:rsidP="001163C1">
            <w:pPr>
              <w:spacing w:before="1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w:t>
            </w:r>
            <w:r w:rsidRPr="002476C0">
              <w:rPr>
                <w:rFonts w:ascii="Times New Roman" w:eastAsia="Calibri" w:hAnsi="Times New Roman" w:cs="Times New Roman"/>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rPr>
              <w:t>ЕС</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4E655E" w:rsidRPr="002476C0" w:rsidRDefault="004E655E" w:rsidP="001163C1">
            <w:pPr>
              <w:spacing w:before="12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w:t>
            </w:r>
            <w:r w:rsidRPr="002476C0">
              <w:rPr>
                <w:rFonts w:ascii="Times New Roman" w:eastAsia="Calibri" w:hAnsi="Times New Roman" w:cs="Times New Roman"/>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bCs/>
                <w:sz w:val="24"/>
                <w:szCs w:val="24"/>
              </w:rPr>
              <w:t xml:space="preserve">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w:t>
            </w:r>
            <w:r w:rsidRPr="002476C0">
              <w:rPr>
                <w:rFonts w:ascii="Times New Roman" w:eastAsia="Calibri" w:hAnsi="Times New Roman" w:cs="Times New Roman"/>
                <w:bCs/>
                <w:sz w:val="24"/>
                <w:szCs w:val="24"/>
              </w:rPr>
              <w:lastRenderedPageBreak/>
              <w:t>финансирана от местни, регионални, национални или общностни източници.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bCs/>
                <w:sz w:val="24"/>
                <w:szCs w:val="24"/>
              </w:rPr>
            </w:pPr>
            <w:r w:rsidRPr="002476C0">
              <w:rPr>
                <w:rFonts w:ascii="Times New Roman" w:eastAsia="Calibri" w:hAnsi="Times New Roman" w:cs="Times New Roman"/>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4E655E" w:rsidRPr="007C6436" w:rsidRDefault="004E655E" w:rsidP="00FD1C36">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i/>
                <w:sz w:val="24"/>
                <w:szCs w:val="24"/>
              </w:rPr>
            </w:pPr>
            <w:r w:rsidRPr="007C6436">
              <w:rPr>
                <w:rFonts w:ascii="Times New Roman" w:eastAsia="Calibri" w:hAnsi="Times New Roman" w:cs="Times New Roman"/>
                <w:sz w:val="24"/>
                <w:szCs w:val="24"/>
              </w:rPr>
              <w:t xml:space="preserve">За изпълнението на обстоятелствата кандидатите посочват данните за получени минимални и държавни помощи в Декларация </w:t>
            </w:r>
            <w:r w:rsidR="007C6436">
              <w:rPr>
                <w:rFonts w:ascii="Times New Roman" w:eastAsia="Calibri" w:hAnsi="Times New Roman" w:cs="Times New Roman"/>
                <w:sz w:val="24"/>
                <w:szCs w:val="24"/>
              </w:rPr>
              <w:t>за минимални и държавни помощи.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i/>
                <w:sz w:val="24"/>
                <w:szCs w:val="24"/>
              </w:rPr>
            </w:pPr>
            <w:r w:rsidRPr="002476C0">
              <w:rPr>
                <w:rFonts w:ascii="Times New Roman" w:eastAsia="Calibri" w:hAnsi="Times New Roman" w:cs="Times New Roman"/>
                <w:bCs/>
                <w:sz w:val="24"/>
                <w:szCs w:val="24"/>
              </w:rPr>
              <w:t>За спазването на обстоятелствата се извършва</w:t>
            </w:r>
            <w:r w:rsidRPr="002476C0">
              <w:rPr>
                <w:rFonts w:ascii="Times New Roman" w:eastAsia="Calibri" w:hAnsi="Times New Roman" w:cs="Times New Roman"/>
                <w:sz w:val="24"/>
                <w:szCs w:val="24"/>
              </w:rPr>
              <w:t xml:space="preserve"> проверка в Информационна система "Регистър на минималните помощи", Публичния регистър на Европейската комисия, </w:t>
            </w:r>
            <w:r w:rsidRPr="002476C0">
              <w:rPr>
                <w:rFonts w:ascii="Times New Roman" w:eastAsia="Calibri" w:hAnsi="Times New Roman" w:cs="Times New Roman"/>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4E655E" w:rsidRPr="002476C0" w:rsidRDefault="004E655E" w:rsidP="001163C1">
            <w:pPr>
              <w:spacing w:before="120"/>
              <w:ind w:left="360"/>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rPr>
              <w:t xml:space="preserve">същият може да бъде намерен на </w:t>
            </w:r>
            <w:r w:rsidRPr="002476C0">
              <w:rPr>
                <w:rFonts w:ascii="Times New Roman" w:eastAsia="Calibri" w:hAnsi="Times New Roman" w:cs="Times New Roman"/>
                <w:sz w:val="24"/>
                <w:szCs w:val="24"/>
                <w:lang w:val="en-US"/>
              </w:rPr>
              <w:t>www</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stateaid</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minfin</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bg</w:t>
            </w:r>
            <w:r w:rsidRPr="002476C0">
              <w:rPr>
                <w:rFonts w:ascii="Times New Roman" w:eastAsia="Calibri" w:hAnsi="Times New Roman" w:cs="Times New Roman"/>
                <w:sz w:val="24"/>
                <w:szCs w:val="24"/>
              </w:rPr>
              <w:t>/</w:t>
            </w:r>
            <w:r w:rsidRPr="002476C0">
              <w:rPr>
                <w:rFonts w:ascii="Times New Roman" w:eastAsia="Calibri" w:hAnsi="Times New Roman" w:cs="Times New Roman"/>
                <w:sz w:val="24"/>
                <w:szCs w:val="24"/>
                <w:lang w:val="en-US"/>
              </w:rPr>
              <w:t>bg</w:t>
            </w:r>
            <w:r w:rsidRPr="00FD1C36">
              <w:rPr>
                <w:rFonts w:ascii="Times New Roman" w:eastAsia="Calibri" w:hAnsi="Times New Roman" w:cs="Times New Roman"/>
                <w:sz w:val="24"/>
                <w:szCs w:val="24"/>
                <w:lang w:val="ru-RU"/>
              </w:rPr>
              <w:t>/</w:t>
            </w:r>
            <w:r w:rsidRPr="002476C0">
              <w:rPr>
                <w:rFonts w:ascii="Times New Roman" w:eastAsia="Calibri" w:hAnsi="Times New Roman" w:cs="Times New Roman"/>
                <w:sz w:val="24"/>
                <w:szCs w:val="24"/>
                <w:lang w:val="en-US"/>
              </w:rPr>
              <w:t>page</w:t>
            </w:r>
            <w:r w:rsidRPr="00FD1C36">
              <w:rPr>
                <w:rFonts w:ascii="Times New Roman" w:eastAsia="Calibri" w:hAnsi="Times New Roman" w:cs="Times New Roman"/>
                <w:sz w:val="24"/>
                <w:szCs w:val="24"/>
                <w:lang w:val="ru-RU"/>
              </w:rPr>
              <w:t>/424)</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BB031C"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BB031C">
              <w:rPr>
                <w:rFonts w:ascii="Times New Roman" w:eastAsia="Calibri" w:hAnsi="Times New Roman" w:cs="Times New Roman"/>
                <w:sz w:val="24"/>
                <w:szCs w:val="24"/>
              </w:rPr>
              <w:t xml:space="preserve"> Преди сключване на договор за предоставяне на безвъзмездна финансова помощ, </w:t>
            </w:r>
            <w:r w:rsidR="00FD1C36" w:rsidRPr="00BB031C">
              <w:rPr>
                <w:rFonts w:ascii="Times New Roman" w:eastAsia="Calibri" w:hAnsi="Times New Roman" w:cs="Times New Roman"/>
                <w:sz w:val="24"/>
                <w:szCs w:val="24"/>
              </w:rPr>
              <w:t xml:space="preserve"> за </w:t>
            </w:r>
            <w:r w:rsidRPr="00BB031C">
              <w:rPr>
                <w:rFonts w:ascii="Times New Roman" w:eastAsia="Calibri" w:hAnsi="Times New Roman" w:cs="Times New Roman"/>
                <w:sz w:val="24"/>
                <w:szCs w:val="24"/>
              </w:rPr>
              <w:t>гарантира</w:t>
            </w:r>
            <w:r w:rsidR="00FD1C36" w:rsidRPr="00BB031C">
              <w:rPr>
                <w:rFonts w:ascii="Times New Roman" w:eastAsia="Calibri" w:hAnsi="Times New Roman" w:cs="Times New Roman"/>
                <w:sz w:val="24"/>
                <w:szCs w:val="24"/>
              </w:rPr>
              <w:t>не</w:t>
            </w:r>
            <w:r w:rsidRPr="00BB031C">
              <w:rPr>
                <w:rFonts w:ascii="Times New Roman" w:eastAsia="Calibri" w:hAnsi="Times New Roman" w:cs="Times New Roman"/>
                <w:sz w:val="24"/>
                <w:szCs w:val="24"/>
              </w:rPr>
              <w:t xml:space="preserve"> изпълнението на всички приложими условия на Регламент (ЕС) № 1407/2013, </w:t>
            </w:r>
            <w:r w:rsidR="00FD1C36" w:rsidRPr="00BB031C">
              <w:rPr>
                <w:rFonts w:ascii="Times New Roman" w:eastAsia="Calibri" w:hAnsi="Times New Roman" w:cs="Times New Roman"/>
                <w:sz w:val="24"/>
                <w:szCs w:val="24"/>
              </w:rPr>
              <w:t xml:space="preserve">се </w:t>
            </w:r>
            <w:r w:rsidRPr="00BB031C">
              <w:rPr>
                <w:rFonts w:ascii="Times New Roman" w:eastAsia="Calibri" w:hAnsi="Times New Roman" w:cs="Times New Roman"/>
                <w:sz w:val="24"/>
                <w:szCs w:val="24"/>
              </w:rPr>
              <w:t>извършва документална проверка на декларираните данни</w:t>
            </w:r>
            <w:r w:rsidR="00BB031C">
              <w:rPr>
                <w:rFonts w:ascii="Times New Roman" w:eastAsia="Calibri" w:hAnsi="Times New Roman" w:cs="Times New Roman"/>
                <w:sz w:val="24"/>
                <w:szCs w:val="24"/>
              </w:rPr>
              <w:t>.</w:t>
            </w:r>
            <w:r w:rsidRPr="00BB031C">
              <w:rPr>
                <w:rFonts w:ascii="Times New Roman" w:eastAsia="Calibri" w:hAnsi="Times New Roman" w:cs="Times New Roman"/>
                <w:sz w:val="24"/>
                <w:szCs w:val="24"/>
              </w:rPr>
              <w:t xml:space="preserve"> </w:t>
            </w:r>
          </w:p>
          <w:p w:rsidR="004E655E" w:rsidRPr="00BB031C"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BB031C">
              <w:rPr>
                <w:rFonts w:ascii="Times New Roman" w:eastAsia="Calibri" w:hAnsi="Times New Roman" w:cs="Times New Roman"/>
                <w:sz w:val="24"/>
                <w:szCs w:val="24"/>
              </w:rPr>
              <w:t xml:space="preserve">В договора за безвъзмездна финансова помощ, съгласно чл. 16 и чл. 36 от Закона за държавни помощи </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обн. В ДВ 85 от 24.10.2017 г.</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например изискванията на чл. 6, пар. 4 и пар. 5</w:t>
            </w:r>
            <w:r w:rsidRPr="00BB031C">
              <w:rPr>
                <w:rFonts w:ascii="Times New Roman" w:eastAsia="Calibri" w:hAnsi="Times New Roman" w:cs="Times New Roman"/>
                <w:sz w:val="24"/>
                <w:szCs w:val="24"/>
                <w:lang w:val="ru-RU"/>
              </w:rPr>
              <w:t>)</w:t>
            </w:r>
            <w:r w:rsidRPr="00BB031C">
              <w:rPr>
                <w:rFonts w:ascii="Times New Roman" w:eastAsia="Calibri" w:hAnsi="Times New Roman" w:cs="Times New Roman"/>
                <w:sz w:val="24"/>
                <w:szCs w:val="24"/>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w:t>
            </w:r>
            <w:r w:rsidRPr="002476C0">
              <w:rPr>
                <w:rFonts w:ascii="Times New Roman" w:eastAsia="Calibri" w:hAnsi="Times New Roman" w:cs="Times New Roman"/>
                <w:sz w:val="24"/>
                <w:szCs w:val="24"/>
              </w:rPr>
              <w:lastRenderedPageBreak/>
              <w:t>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4E655E" w:rsidRPr="002476C0"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4E655E" w:rsidRDefault="004E655E" w:rsidP="004E655E">
            <w:pPr>
              <w:widowControl w:val="0"/>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2476C0">
              <w:rPr>
                <w:rFonts w:ascii="Times New Roman" w:eastAsia="Calibri" w:hAnsi="Times New Roman" w:cs="Times New Roman"/>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rsidR="00FD1C36" w:rsidRPr="002476C0" w:rsidRDefault="00FD1C36" w:rsidP="00FD1C36">
            <w:pPr>
              <w:widowControl w:val="0"/>
              <w:autoSpaceDE w:val="0"/>
              <w:autoSpaceDN w:val="0"/>
              <w:adjustRightInd w:val="0"/>
              <w:spacing w:before="120" w:after="0" w:line="240" w:lineRule="auto"/>
              <w:contextualSpacing/>
              <w:jc w:val="both"/>
              <w:rPr>
                <w:rFonts w:ascii="Times New Roman" w:eastAsia="Calibri" w:hAnsi="Times New Roman" w:cs="Times New Roman"/>
                <w:sz w:val="24"/>
                <w:szCs w:val="24"/>
              </w:rPr>
            </w:pPr>
          </w:p>
          <w:p w:rsidR="002A4B81" w:rsidRDefault="002A4B81" w:rsidP="00FD1C36">
            <w:pPr>
              <w:keepNext/>
              <w:keepLines/>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CB47C7">
              <w:rPr>
                <w:rFonts w:ascii="Times New Roman" w:hAnsi="Times New Roman" w:cs="Times New Roman"/>
                <w:b/>
                <w:sz w:val="24"/>
                <w:szCs w:val="24"/>
              </w:rPr>
              <w:t>Действия на МИГ Чирпан относно режима на минимални / държавни помощи</w:t>
            </w:r>
            <w:r w:rsidR="00CB47C7">
              <w:rPr>
                <w:rFonts w:ascii="Times New Roman" w:hAnsi="Times New Roman" w:cs="Times New Roman"/>
                <w:b/>
                <w:sz w:val="24"/>
                <w:szCs w:val="24"/>
              </w:rPr>
              <w:t>:</w:t>
            </w:r>
          </w:p>
          <w:p w:rsidR="00CB47C7" w:rsidRPr="00CB47C7" w:rsidRDefault="00CB47C7" w:rsidP="00CB47C7">
            <w:pPr>
              <w:pStyle w:val="af0"/>
              <w:keepNext/>
              <w:keepLines/>
              <w:numPr>
                <w:ilvl w:val="0"/>
                <w:numId w:val="33"/>
              </w:numPr>
              <w:jc w:val="both"/>
              <w:rPr>
                <w:b/>
              </w:rPr>
            </w:pPr>
            <w:r w:rsidRPr="00CB47C7">
              <w:rPr>
                <w:b/>
              </w:rPr>
              <w:t>На етап кандид</w:t>
            </w:r>
            <w:r>
              <w:rPr>
                <w:b/>
              </w:rPr>
              <w:t>атстване</w:t>
            </w:r>
            <w:r w:rsidR="00010DE6">
              <w:rPr>
                <w:b/>
              </w:rPr>
              <w:t xml:space="preserve"> </w:t>
            </w:r>
          </w:p>
          <w:p w:rsidR="00FD1C36" w:rsidRPr="003C247C" w:rsidRDefault="003C247C" w:rsidP="003C247C">
            <w:pPr>
              <w:keepNext/>
              <w:keepLines/>
              <w:jc w:val="both"/>
              <w:rPr>
                <w:rFonts w:ascii="Times New Roman" w:hAnsi="Times New Roman" w:cs="Times New Roman"/>
                <w:sz w:val="24"/>
                <w:szCs w:val="24"/>
              </w:rPr>
            </w:pPr>
            <w:r w:rsidRPr="003C247C">
              <w:rPr>
                <w:rFonts w:ascii="Times New Roman" w:hAnsi="Times New Roman" w:cs="Times New Roman"/>
                <w:sz w:val="24"/>
                <w:szCs w:val="24"/>
              </w:rPr>
              <w:t>1.</w:t>
            </w:r>
            <w:r w:rsidR="00494236" w:rsidRPr="003C247C">
              <w:rPr>
                <w:rFonts w:ascii="Times New Roman" w:hAnsi="Times New Roman" w:cs="Times New Roman"/>
                <w:sz w:val="24"/>
                <w:szCs w:val="24"/>
              </w:rPr>
              <w:t>МИГ Чирпан  определя</w:t>
            </w:r>
            <w:r w:rsidR="00FD1C36" w:rsidRPr="003C247C">
              <w:rPr>
                <w:rFonts w:ascii="Times New Roman" w:hAnsi="Times New Roman" w:cs="Times New Roman"/>
                <w:sz w:val="24"/>
                <w:szCs w:val="24"/>
              </w:rPr>
              <w:t xml:space="preserve"> режим „помощ“/ „непомощ“ като изисква</w:t>
            </w:r>
            <w:r w:rsidR="00494236" w:rsidRPr="003C247C">
              <w:rPr>
                <w:rFonts w:ascii="Times New Roman" w:hAnsi="Times New Roman" w:cs="Times New Roman"/>
                <w:sz w:val="24"/>
                <w:szCs w:val="24"/>
              </w:rPr>
              <w:t xml:space="preserve"> кандидатите да подават </w:t>
            </w:r>
            <w:r w:rsidR="00FD1C36" w:rsidRPr="003C247C">
              <w:rPr>
                <w:rFonts w:ascii="Times New Roman" w:hAnsi="Times New Roman" w:cs="Times New Roman"/>
                <w:sz w:val="24"/>
                <w:szCs w:val="24"/>
              </w:rPr>
              <w:t xml:space="preserve"> </w:t>
            </w:r>
            <w:r w:rsidR="00B6305A" w:rsidRPr="003C247C">
              <w:rPr>
                <w:rFonts w:ascii="Times New Roman" w:hAnsi="Times New Roman" w:cs="Times New Roman"/>
                <w:sz w:val="24"/>
                <w:szCs w:val="24"/>
              </w:rPr>
              <w:tab/>
              <w:t>Декларация за дейността на кандидата (икономическа/неикономическа) и годишен финансово-счетоводен отчет, от който да е видно финансово-счетоводно (в т. ч. аналитично) обособяване на икономическата и неикономическа дейност, документ за попълване от Условията за кандидатстване.</w:t>
            </w:r>
          </w:p>
          <w:p w:rsidR="00CB47C7" w:rsidRPr="003C247C" w:rsidRDefault="003C247C" w:rsidP="003C247C">
            <w:pPr>
              <w:rPr>
                <w:rFonts w:ascii="Times New Roman" w:hAnsi="Times New Roman" w:cs="Times New Roman"/>
                <w:sz w:val="24"/>
                <w:szCs w:val="24"/>
              </w:rPr>
            </w:pPr>
            <w:r w:rsidRPr="003C247C">
              <w:rPr>
                <w:rFonts w:ascii="Times New Roman" w:hAnsi="Times New Roman" w:cs="Times New Roman"/>
                <w:sz w:val="24"/>
                <w:szCs w:val="24"/>
              </w:rPr>
              <w:t>2.</w:t>
            </w:r>
            <w:r w:rsidR="00CB47C7" w:rsidRPr="003C247C">
              <w:rPr>
                <w:rFonts w:ascii="Times New Roman" w:hAnsi="Times New Roman" w:cs="Times New Roman"/>
                <w:sz w:val="24"/>
                <w:szCs w:val="24"/>
              </w:rPr>
              <w:t>Декларации минимални и държавни помощи помощи (Приложение № 15 от Документи за за попълване от Условията за кандидатстване.</w:t>
            </w:r>
          </w:p>
          <w:p w:rsidR="000023F8" w:rsidRPr="00B6305A" w:rsidRDefault="000023F8" w:rsidP="000023F8">
            <w:pPr>
              <w:pStyle w:val="af0"/>
            </w:pPr>
          </w:p>
          <w:p w:rsidR="00010DE6" w:rsidRDefault="00CB47C7" w:rsidP="00010DE6">
            <w:pPr>
              <w:pStyle w:val="af0"/>
              <w:keepNext/>
              <w:keepLines/>
              <w:numPr>
                <w:ilvl w:val="0"/>
                <w:numId w:val="33"/>
              </w:numPr>
              <w:jc w:val="both"/>
              <w:rPr>
                <w:b/>
              </w:rPr>
            </w:pPr>
            <w:r w:rsidRPr="00CB47C7">
              <w:rPr>
                <w:b/>
              </w:rPr>
              <w:t>На етап проверка за административно съот</w:t>
            </w:r>
            <w:r>
              <w:rPr>
                <w:b/>
              </w:rPr>
              <w:t>ветствие и допустимост</w:t>
            </w:r>
          </w:p>
          <w:p w:rsidR="003C247C" w:rsidRDefault="003C247C" w:rsidP="00010DE6">
            <w:pPr>
              <w:pStyle w:val="af0"/>
              <w:keepNext/>
              <w:keepLines/>
              <w:numPr>
                <w:ilvl w:val="0"/>
                <w:numId w:val="33"/>
              </w:numPr>
              <w:jc w:val="both"/>
              <w:rPr>
                <w:b/>
              </w:rPr>
            </w:pPr>
          </w:p>
          <w:p w:rsidR="004668A4" w:rsidRDefault="00010DE6" w:rsidP="004668A4">
            <w:pPr>
              <w:keepNext/>
              <w:keepLines/>
              <w:ind w:left="60"/>
              <w:jc w:val="both"/>
              <w:rPr>
                <w:rFonts w:ascii="Times New Roman" w:hAnsi="Times New Roman" w:cs="Times New Roman"/>
                <w:sz w:val="24"/>
                <w:szCs w:val="24"/>
              </w:rPr>
            </w:pPr>
            <w:r w:rsidRPr="004668A4">
              <w:rPr>
                <w:rFonts w:ascii="Times New Roman" w:hAnsi="Times New Roman" w:cs="Times New Roman"/>
                <w:sz w:val="24"/>
                <w:szCs w:val="24"/>
              </w:rPr>
              <w:t>1.Проверка нали</w:t>
            </w:r>
            <w:r w:rsidR="003C247C">
              <w:rPr>
                <w:rFonts w:ascii="Times New Roman" w:hAnsi="Times New Roman" w:cs="Times New Roman"/>
                <w:sz w:val="24"/>
                <w:szCs w:val="24"/>
              </w:rPr>
              <w:t>ч</w:t>
            </w:r>
            <w:r w:rsidRPr="004668A4">
              <w:rPr>
                <w:rFonts w:ascii="Times New Roman" w:hAnsi="Times New Roman" w:cs="Times New Roman"/>
                <w:sz w:val="24"/>
                <w:szCs w:val="24"/>
              </w:rPr>
              <w:t>ие на подадена Декларации минимални и държавни помощи помощи</w:t>
            </w:r>
          </w:p>
          <w:p w:rsidR="004668A4" w:rsidRPr="004668A4" w:rsidRDefault="004668A4" w:rsidP="004668A4">
            <w:pPr>
              <w:keepNext/>
              <w:keepLines/>
              <w:ind w:left="60"/>
              <w:jc w:val="both"/>
              <w:rPr>
                <w:rFonts w:ascii="Times New Roman" w:hAnsi="Times New Roman" w:cs="Times New Roman"/>
                <w:sz w:val="24"/>
                <w:szCs w:val="24"/>
              </w:rPr>
            </w:pPr>
            <w:r>
              <w:rPr>
                <w:rFonts w:ascii="Times New Roman" w:hAnsi="Times New Roman" w:cs="Times New Roman"/>
                <w:sz w:val="24"/>
                <w:szCs w:val="24"/>
              </w:rPr>
              <w:t>2.</w:t>
            </w:r>
            <w:r w:rsidR="00010DE6">
              <w:rPr>
                <w:rFonts w:ascii="Times New Roman" w:hAnsi="Times New Roman" w:cs="Times New Roman"/>
                <w:sz w:val="24"/>
                <w:szCs w:val="24"/>
              </w:rPr>
              <w:t>.</w:t>
            </w:r>
            <w:r w:rsidR="00845293" w:rsidRPr="00010DE6">
              <w:rPr>
                <w:rFonts w:ascii="Times New Roman" w:hAnsi="Times New Roman" w:cs="Times New Roman"/>
                <w:sz w:val="24"/>
                <w:szCs w:val="24"/>
              </w:rPr>
              <w:t>Проверка за това , че финансовото подпомагане представлява „минимална помощ“ при условията на Регламент 1407/2013.Кандидатите и дейностите, които ще се финансират, попадат в приложното поле на чл.1 на Регламент 1407/2013В случай, че кандидатите и дейностите не попадат в приложното поле на чл.1 на  Регламент 1407/2013, проектното предложение ще бъде отхвърлено</w:t>
            </w:r>
            <w:r w:rsidR="00845293" w:rsidRPr="00583030">
              <w:t>.</w:t>
            </w:r>
          </w:p>
          <w:p w:rsidR="00583030" w:rsidRPr="004668A4" w:rsidRDefault="004668A4" w:rsidP="004668A4">
            <w:pPr>
              <w:keepNext/>
              <w:keepLines/>
              <w:jc w:val="both"/>
            </w:pPr>
            <w:r w:rsidRPr="004668A4">
              <w:rPr>
                <w:rFonts w:ascii="Times New Roman" w:hAnsi="Times New Roman" w:cs="Times New Roman"/>
                <w:sz w:val="24"/>
                <w:szCs w:val="24"/>
              </w:rPr>
              <w:t>3.</w:t>
            </w:r>
            <w:r w:rsidR="00583030" w:rsidRPr="004668A4">
              <w:rPr>
                <w:rFonts w:ascii="Times New Roman" w:hAnsi="Times New Roman" w:cs="Times New Roman"/>
                <w:sz w:val="24"/>
                <w:szCs w:val="24"/>
              </w:rPr>
              <w:t xml:space="preserve">Проверява се за съответствие на проектното предложение с изискванията на </w:t>
            </w:r>
            <w:r w:rsidR="00583030" w:rsidRPr="004668A4">
              <w:rPr>
                <w:rFonts w:ascii="Times New Roman" w:hAnsi="Times New Roman" w:cs="Times New Roman"/>
                <w:sz w:val="24"/>
                <w:szCs w:val="24"/>
              </w:rPr>
              <w:lastRenderedPageBreak/>
              <w:t>Регламент 1407/2013. Проверява се прагът на помощта  в: Информационната система "Регистър на минималните помощи",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Търговския регистър и чрез Декларацията за минимални помощи</w:t>
            </w:r>
            <w:r w:rsidR="003C247C">
              <w:rPr>
                <w:rFonts w:ascii="Times New Roman" w:hAnsi="Times New Roman" w:cs="Times New Roman"/>
                <w:sz w:val="24"/>
                <w:szCs w:val="24"/>
              </w:rPr>
              <w:t>.</w:t>
            </w:r>
          </w:p>
          <w:p w:rsidR="00FD1C36" w:rsidRPr="00FD1C36" w:rsidRDefault="009A1026" w:rsidP="00FD1C36">
            <w:pPr>
              <w:keepNext/>
              <w:keepLines/>
              <w:contextualSpacing/>
              <w:jc w:val="both"/>
              <w:rPr>
                <w:rFonts w:ascii="Times New Roman" w:hAnsi="Times New Roman" w:cs="Times New Roman"/>
                <w:sz w:val="24"/>
                <w:szCs w:val="24"/>
              </w:rPr>
            </w:pPr>
            <w:r>
              <w:rPr>
                <w:rFonts w:ascii="Times New Roman" w:hAnsi="Times New Roman" w:cs="Times New Roman"/>
                <w:sz w:val="24"/>
                <w:szCs w:val="24"/>
              </w:rPr>
              <w:t>4.</w:t>
            </w:r>
            <w:r w:rsidR="00CB47C7">
              <w:rPr>
                <w:rFonts w:ascii="Times New Roman" w:hAnsi="Times New Roman" w:cs="Times New Roman"/>
                <w:sz w:val="24"/>
                <w:szCs w:val="24"/>
              </w:rPr>
              <w:t>.Извършв</w:t>
            </w:r>
            <w:r w:rsidR="004668A4">
              <w:rPr>
                <w:rFonts w:ascii="Times New Roman" w:hAnsi="Times New Roman" w:cs="Times New Roman"/>
                <w:sz w:val="24"/>
                <w:szCs w:val="24"/>
              </w:rPr>
              <w:t>а се</w:t>
            </w:r>
            <w:r w:rsidR="00CB47C7">
              <w:rPr>
                <w:rFonts w:ascii="Times New Roman" w:hAnsi="Times New Roman" w:cs="Times New Roman"/>
                <w:sz w:val="24"/>
                <w:szCs w:val="24"/>
              </w:rPr>
              <w:t xml:space="preserve"> проверка на получената ф</w:t>
            </w:r>
            <w:r w:rsidR="00FD1C36" w:rsidRPr="00FD1C36">
              <w:rPr>
                <w:rFonts w:ascii="Times New Roman" w:hAnsi="Times New Roman" w:cs="Times New Roman"/>
                <w:sz w:val="24"/>
                <w:szCs w:val="24"/>
              </w:rPr>
              <w:t>инансовата помощ за един кандидат в условията на чл.2, пар.2 на Регламент 1407/2013(едно и също предприятие), заедно с другите получени минимални помощи и съгласно изискванията на  чл.5 на Регламент 1407/2013, не надхвърлят левовата равностойност на 200 000 евро (100 000 евро в случай на едно и също предприятие, което осъществява автомобилни товарни превози за чужда сметка) за период от три последователни години, включително текущата.</w:t>
            </w:r>
          </w:p>
          <w:p w:rsidR="004E655E" w:rsidRPr="001D2CE8" w:rsidRDefault="00FD1C36" w:rsidP="008808E1">
            <w:pPr>
              <w:keepNext/>
              <w:keepLines/>
              <w:contextualSpacing/>
              <w:jc w:val="both"/>
              <w:rPr>
                <w:rFonts w:ascii="Times New Roman" w:hAnsi="Times New Roman" w:cs="Times New Roman"/>
                <w:sz w:val="24"/>
                <w:szCs w:val="24"/>
              </w:rPr>
            </w:pPr>
            <w:r w:rsidRPr="00FD1C36">
              <w:rPr>
                <w:rFonts w:ascii="Times New Roman" w:hAnsi="Times New Roman" w:cs="Times New Roman"/>
                <w:sz w:val="24"/>
                <w:szCs w:val="24"/>
              </w:rPr>
              <w:t xml:space="preserve">В случай , че се установи, че с финансовата помощ, за която се кандидатства, </w:t>
            </w:r>
            <w:r w:rsidR="004668A4">
              <w:rPr>
                <w:rFonts w:ascii="Times New Roman" w:hAnsi="Times New Roman" w:cs="Times New Roman"/>
                <w:sz w:val="24"/>
                <w:szCs w:val="24"/>
              </w:rPr>
              <w:t xml:space="preserve">се </w:t>
            </w:r>
            <w:r w:rsidRPr="00FD1C36">
              <w:rPr>
                <w:rFonts w:ascii="Times New Roman" w:hAnsi="Times New Roman" w:cs="Times New Roman"/>
                <w:sz w:val="24"/>
                <w:szCs w:val="24"/>
              </w:rPr>
              <w:t xml:space="preserve"> надхвърл</w:t>
            </w:r>
            <w:r w:rsidR="004668A4">
              <w:rPr>
                <w:rFonts w:ascii="Times New Roman" w:hAnsi="Times New Roman" w:cs="Times New Roman"/>
                <w:sz w:val="24"/>
                <w:szCs w:val="24"/>
              </w:rPr>
              <w:t>я</w:t>
            </w:r>
            <w:r w:rsidRPr="00FD1C36">
              <w:rPr>
                <w:rFonts w:ascii="Times New Roman" w:hAnsi="Times New Roman" w:cs="Times New Roman"/>
                <w:sz w:val="24"/>
                <w:szCs w:val="24"/>
              </w:rPr>
              <w:t xml:space="preserve"> прагът на допустимите минимални помощи, Комисията</w:t>
            </w:r>
            <w:r w:rsidR="004668A4">
              <w:rPr>
                <w:rFonts w:ascii="Times New Roman" w:hAnsi="Times New Roman" w:cs="Times New Roman"/>
                <w:sz w:val="24"/>
                <w:szCs w:val="24"/>
              </w:rPr>
              <w:t xml:space="preserve"> за ППП</w:t>
            </w:r>
            <w:r w:rsidRPr="00FD1C36">
              <w:rPr>
                <w:rFonts w:ascii="Times New Roman" w:hAnsi="Times New Roman" w:cs="Times New Roman"/>
                <w:sz w:val="24"/>
                <w:szCs w:val="24"/>
              </w:rPr>
              <w:t xml:space="preserve"> намалява служебно размера на БФП до максимално допустимия размер, което се отразява в</w:t>
            </w:r>
            <w:r w:rsidR="008808E1">
              <w:rPr>
                <w:rFonts w:ascii="Times New Roman" w:hAnsi="Times New Roman" w:cs="Times New Roman"/>
                <w:sz w:val="24"/>
                <w:szCs w:val="24"/>
              </w:rPr>
              <w:t xml:space="preserve"> Таблица</w:t>
            </w:r>
            <w:r w:rsidR="008808E1">
              <w:t xml:space="preserve"> </w:t>
            </w:r>
            <w:r w:rsidR="008808E1" w:rsidRPr="008808E1">
              <w:rPr>
                <w:rFonts w:ascii="Times New Roman" w:hAnsi="Times New Roman" w:cs="Times New Roman"/>
                <w:sz w:val="24"/>
                <w:szCs w:val="24"/>
              </w:rPr>
              <w:t>Одобрен размер на допустимите разходи</w:t>
            </w:r>
            <w:r w:rsidR="008808E1">
              <w:rPr>
                <w:rFonts w:ascii="Times New Roman" w:hAnsi="Times New Roman" w:cs="Times New Roman"/>
                <w:sz w:val="24"/>
                <w:szCs w:val="24"/>
              </w:rPr>
              <w:t xml:space="preserve"> Приложение 31 от „Документи за информация“ към Условия за кандидатстване.</w:t>
            </w:r>
          </w:p>
        </w:tc>
      </w:tr>
    </w:tbl>
    <w:p w:rsidR="004E655E" w:rsidRPr="005449C7" w:rsidRDefault="004E655E" w:rsidP="004E655E">
      <w:pPr>
        <w:pStyle w:val="1"/>
        <w:rPr>
          <w:szCs w:val="24"/>
        </w:rPr>
      </w:pPr>
      <w:bookmarkStart w:id="23" w:name="_Toc505614657"/>
      <w:r w:rsidRPr="005449C7">
        <w:rPr>
          <w:szCs w:val="24"/>
        </w:rPr>
        <w:lastRenderedPageBreak/>
        <w:t>17. Хоризонтални политики:</w:t>
      </w:r>
      <w:bookmarkEnd w:id="23"/>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keepNext/>
              <w:keepLines/>
              <w:contextualSpacing/>
              <w:jc w:val="both"/>
              <w:rPr>
                <w:rFonts w:ascii="Times New Roman" w:hAnsi="Times New Roman" w:cs="Times New Roman"/>
                <w:sz w:val="24"/>
                <w:szCs w:val="24"/>
              </w:rPr>
            </w:pPr>
            <w:r w:rsidRPr="004A24F1">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недискриминация и устойчиво развитие.По настоящата процедура следва да е налице съответствие на проектните предложения със следните принципи на хоризонталните политики на ЕС:</w:t>
            </w:r>
          </w:p>
          <w:p w:rsidR="004E655E" w:rsidRPr="004A24F1" w:rsidRDefault="004E655E" w:rsidP="001163C1">
            <w:pPr>
              <w:spacing w:before="100" w:beforeAutospacing="1"/>
              <w:jc w:val="both"/>
              <w:rPr>
                <w:rFonts w:ascii="Times New Roman" w:eastAsia="MS Mincho" w:hAnsi="Times New Roman" w:cs="Times New Roman"/>
                <w:b/>
                <w:color w:val="000000"/>
                <w:sz w:val="24"/>
                <w:szCs w:val="24"/>
              </w:rPr>
            </w:pPr>
            <w:r w:rsidRPr="004A24F1">
              <w:rPr>
                <w:rFonts w:ascii="Times New Roman" w:eastAsia="MS Mincho" w:hAnsi="Times New Roman" w:cs="Times New Roman"/>
                <w:b/>
                <w:color w:val="000000"/>
                <w:sz w:val="24"/>
                <w:szCs w:val="24"/>
                <w:lang w:eastAsia="bg-BG"/>
              </w:rPr>
              <w:t>1.Прилагане на принципа на равенство между половете</w:t>
            </w:r>
            <w:r w:rsidRPr="004A24F1">
              <w:rPr>
                <w:rFonts w:eastAsia="MS Mincho"/>
                <w:color w:val="000000"/>
                <w:sz w:val="24"/>
                <w:szCs w:val="24"/>
              </w:rPr>
              <w:t xml:space="preserve"> </w:t>
            </w:r>
            <w:r w:rsidRPr="004A24F1">
              <w:rPr>
                <w:rFonts w:ascii="Times New Roman" w:eastAsia="MS Mincho" w:hAnsi="Times New Roman" w:cs="Times New Roman"/>
                <w:color w:val="000000"/>
                <w:sz w:val="24"/>
                <w:szCs w:val="24"/>
              </w:rPr>
              <w:t>Съответствието с хоризонталните политики на ЕС по отношение на равенството между половете и недопускането на 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дейности, в процеса на реализацията на стратегията за ВОМР на МИГ – Чирпан.</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sidRPr="004A24F1">
              <w:rPr>
                <w:rFonts w:ascii="Times New Roman" w:eastAsia="MS Mincho" w:hAnsi="Times New Roman" w:cs="Times New Roman"/>
                <w:b/>
                <w:color w:val="000000"/>
                <w:sz w:val="24"/>
                <w:szCs w:val="24"/>
                <w:lang w:eastAsia="bg-BG"/>
              </w:rPr>
              <w:t xml:space="preserve">. </w:t>
            </w:r>
            <w:r w:rsidRPr="004A24F1">
              <w:rPr>
                <w:rFonts w:ascii="Times New Roman" w:eastAsia="MS Mincho" w:hAnsi="Times New Roman" w:cs="Times New Roman"/>
                <w:color w:val="000000"/>
                <w:sz w:val="24"/>
                <w:szCs w:val="24"/>
                <w:lang w:eastAsia="bg-BG"/>
              </w:rPr>
              <w:t>Отчитайки проблемите на заетостта сред жените и младите хора и тяхното недостатъчно включване в социално икономическия живот на територията, Стратегията за ВОМР на МИГ – Чирпан дава приоритет за жените и младежите в икономическата област, за да даде възможност за придобиване на равни права в заетостта и професионалната дейност и постигането на финансова независимост, което да предотврати изоставането им.</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b/>
                <w:color w:val="000000"/>
                <w:sz w:val="24"/>
                <w:szCs w:val="24"/>
                <w:lang w:eastAsia="bg-BG"/>
              </w:rPr>
              <w:t xml:space="preserve"> 2. Допринасяне за утвърждаване на принципа на равните възможности</w:t>
            </w:r>
            <w:r w:rsidRPr="004A24F1">
              <w:rPr>
                <w:rFonts w:ascii="Times New Roman" w:eastAsia="MS Mincho" w:hAnsi="Times New Roman" w:cs="Times New Roman"/>
                <w:color w:val="000000"/>
                <w:sz w:val="24"/>
                <w:szCs w:val="24"/>
                <w:lang w:eastAsia="bg-BG"/>
              </w:rPr>
              <w:t>;</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МИГ –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 турския и ромски етнос. МИГ – Чирпан ще насърчава равните възможности и социална справедливост във всички дейности на МИГ</w:t>
            </w:r>
          </w:p>
          <w:p w:rsidR="004E655E" w:rsidRPr="004A24F1" w:rsidRDefault="004E655E" w:rsidP="001163C1">
            <w:pPr>
              <w:jc w:val="both"/>
              <w:rPr>
                <w:rFonts w:ascii="Times New Roman" w:eastAsia="MS Mincho" w:hAnsi="Times New Roman" w:cs="Times New Roman"/>
                <w:b/>
                <w:color w:val="000000"/>
                <w:sz w:val="24"/>
                <w:szCs w:val="24"/>
                <w:lang w:eastAsia="bg-BG"/>
              </w:rPr>
            </w:pPr>
            <w:r w:rsidRPr="004A24F1">
              <w:rPr>
                <w:rFonts w:ascii="Times New Roman" w:eastAsia="MS Mincho" w:hAnsi="Times New Roman" w:cs="Times New Roman"/>
                <w:b/>
                <w:color w:val="000000"/>
                <w:sz w:val="24"/>
                <w:szCs w:val="24"/>
                <w:lang w:eastAsia="bg-BG"/>
              </w:rPr>
              <w:t xml:space="preserve"> 3. Създаване на условия за превенция на дискриминацията.</w:t>
            </w: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Стратегията за ВОМР допринася за утвърждаване на принципа на равните възможности и ще създава  условия за превенция на дискриминацията чрез:</w:t>
            </w:r>
          </w:p>
          <w:p w:rsidR="004E655E" w:rsidRPr="004A24F1" w:rsidRDefault="004E655E" w:rsidP="001163C1">
            <w:pPr>
              <w:pStyle w:val="af0"/>
              <w:numPr>
                <w:ilvl w:val="0"/>
                <w:numId w:val="16"/>
              </w:numPr>
              <w:jc w:val="both"/>
              <w:rPr>
                <w:rFonts w:eastAsia="MS Mincho"/>
                <w:color w:val="000000"/>
              </w:rPr>
            </w:pPr>
            <w:r w:rsidRPr="004A24F1">
              <w:rPr>
                <w:rFonts w:eastAsia="MS Mincho"/>
                <w:color w:val="000000"/>
              </w:rPr>
              <w:t xml:space="preserve">информационната кампания за огласяване възможностите за кандидатстване с </w:t>
            </w:r>
            <w:r w:rsidRPr="004A24F1">
              <w:rPr>
                <w:rFonts w:eastAsia="MS Mincho"/>
                <w:color w:val="000000"/>
              </w:rPr>
              <w:lastRenderedPageBreak/>
              <w:t>проекти – акцент в предоставяне на информация и обучения на групи и потенциални бенефициенти в неравностойно положение и преди всичко жени, роми е др.</w:t>
            </w:r>
          </w:p>
          <w:p w:rsidR="004E655E" w:rsidRPr="004A24F1" w:rsidRDefault="004E655E" w:rsidP="001163C1">
            <w:pPr>
              <w:pStyle w:val="af0"/>
              <w:numPr>
                <w:ilvl w:val="0"/>
                <w:numId w:val="16"/>
              </w:numPr>
              <w:jc w:val="both"/>
              <w:rPr>
                <w:rFonts w:eastAsia="MS Mincho"/>
                <w:color w:val="000000"/>
              </w:rPr>
            </w:pPr>
            <w:r w:rsidRPr="004A24F1">
              <w:rPr>
                <w:rFonts w:eastAsia="MS Mincho"/>
                <w:color w:val="000000"/>
              </w:rPr>
              <w:t>приоритет при избор на проекти – жени и младежи до 40 години, гарантиращи достъпна среда за хора с увреждания (където това е релевантно) и др.</w:t>
            </w:r>
          </w:p>
          <w:p w:rsidR="004E655E" w:rsidRPr="004A24F1" w:rsidRDefault="004E655E" w:rsidP="001163C1">
            <w:pPr>
              <w:pStyle w:val="af0"/>
              <w:numPr>
                <w:ilvl w:val="0"/>
                <w:numId w:val="16"/>
              </w:numPr>
              <w:jc w:val="both"/>
              <w:rPr>
                <w:rFonts w:eastAsia="MS Mincho"/>
                <w:color w:val="000000"/>
              </w:rPr>
            </w:pPr>
            <w:r w:rsidRPr="004A24F1">
              <w:rPr>
                <w:rFonts w:eastAsia="MS Mincho"/>
                <w:color w:val="000000"/>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4E655E" w:rsidRPr="004A24F1" w:rsidRDefault="004E655E" w:rsidP="001163C1">
            <w:pPr>
              <w:pStyle w:val="af0"/>
              <w:numPr>
                <w:ilvl w:val="0"/>
                <w:numId w:val="17"/>
              </w:numPr>
              <w:jc w:val="both"/>
              <w:rPr>
                <w:rFonts w:eastAsia="MS Mincho"/>
                <w:b/>
                <w:color w:val="000000"/>
              </w:rPr>
            </w:pPr>
            <w:r w:rsidRPr="004A24F1">
              <w:rPr>
                <w:rFonts w:eastAsia="MS Mincho"/>
                <w:b/>
                <w:color w:val="000000"/>
              </w:rPr>
              <w:t>Устойчиво развитие (защита на околната среда):</w:t>
            </w:r>
          </w:p>
          <w:p w:rsidR="004E655E" w:rsidRPr="004A24F1" w:rsidRDefault="004E655E" w:rsidP="001163C1">
            <w:pPr>
              <w:jc w:val="both"/>
              <w:rPr>
                <w:rFonts w:ascii="Times New Roman" w:eastAsia="MS Mincho" w:hAnsi="Times New Roman" w:cs="Times New Roman"/>
                <w:color w:val="000000"/>
                <w:sz w:val="24"/>
                <w:szCs w:val="24"/>
              </w:rPr>
            </w:pPr>
            <w:r w:rsidRPr="004A24F1">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p>
          <w:p w:rsidR="004E655E" w:rsidRPr="004A24F1" w:rsidRDefault="004E655E" w:rsidP="001163C1">
            <w:pPr>
              <w:jc w:val="both"/>
              <w:rPr>
                <w:rFonts w:ascii="Times New Roman" w:eastAsia="MS Mincho" w:hAnsi="Times New Roman" w:cs="Times New Roman"/>
                <w:color w:val="000000"/>
                <w:sz w:val="24"/>
                <w:szCs w:val="24"/>
              </w:rPr>
            </w:pPr>
          </w:p>
          <w:p w:rsidR="004E655E" w:rsidRPr="004A24F1" w:rsidRDefault="004E655E" w:rsidP="001163C1">
            <w:pPr>
              <w:jc w:val="both"/>
              <w:rPr>
                <w:rFonts w:ascii="Times New Roman" w:eastAsia="MS Mincho" w:hAnsi="Times New Roman" w:cs="Times New Roman"/>
                <w:color w:val="000000"/>
                <w:sz w:val="24"/>
                <w:szCs w:val="24"/>
                <w:lang w:eastAsia="bg-BG"/>
              </w:rPr>
            </w:pPr>
            <w:r w:rsidRPr="004A24F1">
              <w:rPr>
                <w:rFonts w:ascii="Times New Roman" w:eastAsia="MS Mincho" w:hAnsi="Times New Roman" w:cs="Times New Roman"/>
                <w:color w:val="000000"/>
                <w:sz w:val="24"/>
                <w:szCs w:val="24"/>
                <w:lang w:eastAsia="bg-BG"/>
              </w:rPr>
              <w:t>Във т.11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4E655E" w:rsidRPr="004A24F1" w:rsidRDefault="004E655E" w:rsidP="001163C1">
            <w:pPr>
              <w:jc w:val="both"/>
              <w:rPr>
                <w:rFonts w:ascii="Times New Roman" w:hAnsi="Times New Roman" w:cs="Times New Roman"/>
                <w:sz w:val="24"/>
                <w:szCs w:val="24"/>
              </w:rPr>
            </w:pPr>
          </w:p>
        </w:tc>
      </w:tr>
    </w:tbl>
    <w:p w:rsidR="004E655E" w:rsidRPr="000C4F4D" w:rsidRDefault="004E655E" w:rsidP="004E655E">
      <w:pPr>
        <w:pStyle w:val="1"/>
        <w:rPr>
          <w:sz w:val="22"/>
          <w:szCs w:val="22"/>
        </w:rPr>
      </w:pPr>
      <w:bookmarkStart w:id="24" w:name="_Toc505614658"/>
      <w:r w:rsidRPr="000C4F4D">
        <w:rPr>
          <w:sz w:val="22"/>
          <w:szCs w:val="22"/>
        </w:rPr>
        <w:lastRenderedPageBreak/>
        <w:t>18. Минимален и максимален срок за изпълнение на проекта:</w:t>
      </w:r>
      <w:bookmarkEnd w:id="24"/>
    </w:p>
    <w:tbl>
      <w:tblPr>
        <w:tblStyle w:val="a9"/>
        <w:tblW w:w="0" w:type="auto"/>
        <w:tblLook w:val="04A0" w:firstRow="1" w:lastRow="0" w:firstColumn="1" w:lastColumn="0" w:noHBand="0" w:noVBand="1"/>
      </w:tblPr>
      <w:tblGrid>
        <w:gridCol w:w="9212"/>
      </w:tblGrid>
      <w:tr w:rsidR="004E655E" w:rsidRPr="000C4F4D" w:rsidTr="001163C1">
        <w:tc>
          <w:tcPr>
            <w:tcW w:w="9212" w:type="dxa"/>
          </w:tcPr>
          <w:p w:rsidR="004E655E" w:rsidRPr="004A24F1" w:rsidRDefault="004E655E" w:rsidP="001163C1">
            <w:pPr>
              <w:jc w:val="both"/>
              <w:rPr>
                <w:rFonts w:ascii="Times New Roman" w:hAnsi="Times New Roman" w:cs="Times New Roman"/>
                <w:sz w:val="24"/>
                <w:szCs w:val="24"/>
              </w:rPr>
            </w:pPr>
            <w:bookmarkStart w:id="25" w:name="to_paragraph_id30665578"/>
            <w:bookmarkEnd w:id="25"/>
            <w:r w:rsidRPr="004A24F1">
              <w:rPr>
                <w:rFonts w:ascii="Times New Roman" w:hAnsi="Times New Roman" w:cs="Times New Roman"/>
                <w:sz w:val="24"/>
                <w:szCs w:val="24"/>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а) подписването на административния договор за предоставяне на финансова помощ с РА и МИГ Чирпан за кандидати, които не се явяват възложители по чл. 7 и чл. 14а, ал. 3 и 4 от Закона за обществените поръчки;</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 xml:space="preserve">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w:t>
            </w:r>
            <w:r w:rsidRPr="004A24F1">
              <w:rPr>
                <w:rFonts w:ascii="Times New Roman" w:hAnsi="Times New Roman" w:cs="Times New Roman"/>
                <w:sz w:val="24"/>
                <w:szCs w:val="24"/>
              </w:rPr>
              <w:lastRenderedPageBreak/>
              <w:t>възложители по чл. 7 и чл. 14а, ал. 3 и 4 от Закона за обществените поръчки.</w:t>
            </w:r>
          </w:p>
          <w:p w:rsidR="004E655E" w:rsidRPr="00987A5E"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2. Крайният срок за изпълнение</w:t>
            </w:r>
            <w:r w:rsidR="00987A5E">
              <w:rPr>
                <w:rFonts w:ascii="Times New Roman" w:hAnsi="Times New Roman" w:cs="Times New Roman"/>
                <w:sz w:val="24"/>
                <w:szCs w:val="24"/>
              </w:rPr>
              <w:t xml:space="preserve"> на проекти е до 30 юни 2023 г.</w:t>
            </w:r>
          </w:p>
        </w:tc>
      </w:tr>
    </w:tbl>
    <w:p w:rsidR="004E655E" w:rsidRPr="00A2252C" w:rsidRDefault="004E655E" w:rsidP="004E655E">
      <w:pPr>
        <w:pStyle w:val="1"/>
        <w:spacing w:line="240" w:lineRule="auto"/>
        <w:rPr>
          <w:sz w:val="22"/>
          <w:szCs w:val="22"/>
        </w:rPr>
      </w:pPr>
      <w:bookmarkStart w:id="26" w:name="_Toc505614661"/>
      <w:r>
        <w:rPr>
          <w:sz w:val="22"/>
          <w:szCs w:val="22"/>
        </w:rPr>
        <w:lastRenderedPageBreak/>
        <w:t>19</w:t>
      </w:r>
      <w:r w:rsidRPr="00A2252C">
        <w:rPr>
          <w:sz w:val="22"/>
          <w:szCs w:val="22"/>
        </w:rPr>
        <w:t>. Ред за оценяване на проектните предложения:</w:t>
      </w:r>
      <w:bookmarkEnd w:id="26"/>
    </w:p>
    <w:tbl>
      <w:tblPr>
        <w:tblStyle w:val="a9"/>
        <w:tblW w:w="0" w:type="auto"/>
        <w:tblLook w:val="04A0" w:firstRow="1" w:lastRow="0" w:firstColumn="1" w:lastColumn="0" w:noHBand="0" w:noVBand="1"/>
      </w:tblPr>
      <w:tblGrid>
        <w:gridCol w:w="9212"/>
      </w:tblGrid>
      <w:tr w:rsidR="004E655E" w:rsidRPr="00A2252C" w:rsidTr="001163C1">
        <w:tc>
          <w:tcPr>
            <w:tcW w:w="9212" w:type="dxa"/>
          </w:tcPr>
          <w:p w:rsidR="004E655E" w:rsidRPr="008C7BDB" w:rsidRDefault="004E655E" w:rsidP="001163C1">
            <w:pPr>
              <w:jc w:val="both"/>
              <w:rPr>
                <w:rFonts w:ascii="Times New Roman" w:hAnsi="Times New Roman" w:cs="Times New Roman"/>
                <w:sz w:val="24"/>
                <w:szCs w:val="24"/>
              </w:rPr>
            </w:pPr>
            <w:r>
              <w:rPr>
                <w:rFonts w:ascii="Times New Roman" w:hAnsi="Times New Roman" w:cs="Times New Roman"/>
                <w:sz w:val="24"/>
                <w:szCs w:val="24"/>
              </w:rPr>
              <w:t>1</w:t>
            </w:r>
            <w:r w:rsidRPr="006A023E">
              <w:rPr>
                <w:rFonts w:ascii="Times New Roman" w:hAnsi="Times New Roman" w:cs="Times New Roman"/>
                <w:sz w:val="24"/>
                <w:szCs w:val="24"/>
              </w:rPr>
              <w:t>.</w:t>
            </w:r>
            <w:r w:rsidRPr="006A023E">
              <w:t xml:space="preserve"> </w:t>
            </w:r>
            <w:r w:rsidRPr="006A023E">
              <w:rPr>
                <w:rFonts w:ascii="Times New Roman" w:hAnsi="Times New Roman" w:cs="Times New Roman"/>
                <w:sz w:val="24"/>
                <w:szCs w:val="24"/>
              </w:rPr>
              <w:t xml:space="preserve">1.Оценката  на проектни предложения по процедурата се извършва в ИСУН, </w:t>
            </w:r>
            <w:r w:rsidRPr="006A023E">
              <w:rPr>
                <w:rFonts w:ascii="Times New Roman" w:hAnsi="Times New Roman" w:cs="Times New Roman"/>
                <w:b/>
                <w:sz w:val="24"/>
                <w:szCs w:val="24"/>
              </w:rPr>
              <w:t>съгласно условията и реда посочени в Минималните изисквания към реда за оценка на проектни предложения към СВОМР  по чл.41, ал.2 от ПМС 161/2016 г.,</w:t>
            </w:r>
            <w:r w:rsidRPr="006A023E">
              <w:rPr>
                <w:rFonts w:ascii="Times New Roman" w:hAnsi="Times New Roman" w:cs="Times New Roman"/>
                <w:sz w:val="24"/>
                <w:szCs w:val="24"/>
              </w:rPr>
              <w:t xml:space="preserve"> както и в</w:t>
            </w:r>
            <w:r>
              <w:rPr>
                <w:rFonts w:ascii="Times New Roman" w:hAnsi="Times New Roman" w:cs="Times New Roman"/>
                <w:sz w:val="24"/>
                <w:szCs w:val="24"/>
              </w:rPr>
              <w:t xml:space="preserve"> </w:t>
            </w:r>
            <w:r w:rsidRPr="006A023E">
              <w:rPr>
                <w:rFonts w:ascii="Times New Roman" w:hAnsi="Times New Roman" w:cs="Times New Roman"/>
                <w:sz w:val="24"/>
                <w:szCs w:val="24"/>
              </w:rPr>
              <w:t xml:space="preserve">съответствие със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 и приложимото Европейско законодателство. </w:t>
            </w:r>
          </w:p>
          <w:p w:rsidR="004E655E" w:rsidRPr="008C7BDB" w:rsidRDefault="004E655E" w:rsidP="001163C1">
            <w:pPr>
              <w:jc w:val="both"/>
              <w:rPr>
                <w:rFonts w:ascii="Times New Roman" w:hAnsi="Times New Roman" w:cs="Times New Roman"/>
                <w:sz w:val="24"/>
                <w:szCs w:val="24"/>
              </w:rPr>
            </w:pPr>
            <w:r w:rsidRPr="008C7BDB">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 назначен</w:t>
            </w:r>
            <w:r>
              <w:rPr>
                <w:rFonts w:ascii="Times New Roman" w:hAnsi="Times New Roman" w:cs="Times New Roman"/>
                <w:sz w:val="24"/>
                <w:szCs w:val="24"/>
              </w:rPr>
              <w:t>а</w:t>
            </w:r>
            <w:r w:rsidRPr="008C7BDB">
              <w:rPr>
                <w:rFonts w:ascii="Times New Roman" w:hAnsi="Times New Roman" w:cs="Times New Roman"/>
                <w:sz w:val="24"/>
                <w:szCs w:val="24"/>
              </w:rPr>
              <w:t xml:space="preserve"> със Заповед на Председателя на Управителния съвет на МИГ </w:t>
            </w:r>
            <w:r w:rsidRPr="008C7BDB">
              <w:rPr>
                <w:rFonts w:ascii="Times New Roman" w:hAnsi="Times New Roman" w:cs="Times New Roman"/>
                <w:b/>
                <w:sz w:val="24"/>
                <w:szCs w:val="24"/>
              </w:rPr>
              <w:t>до три дни</w:t>
            </w:r>
            <w:r w:rsidRPr="008C7BDB">
              <w:rPr>
                <w:rFonts w:ascii="Times New Roman" w:hAnsi="Times New Roman" w:cs="Times New Roman"/>
                <w:sz w:val="24"/>
                <w:szCs w:val="24"/>
              </w:rPr>
              <w:t xml:space="preserve"> след крайния срок за подаването на проектните предложения</w:t>
            </w:r>
            <w:r>
              <w:rPr>
                <w:rFonts w:ascii="Times New Roman" w:hAnsi="Times New Roman" w:cs="Times New Roman"/>
                <w:sz w:val="24"/>
                <w:szCs w:val="24"/>
              </w:rPr>
              <w:t>.</w:t>
            </w:r>
            <w:r>
              <w:t xml:space="preserve"> </w:t>
            </w:r>
            <w:r w:rsidRPr="00FA7E6A">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AC68CE">
              <w:rPr>
                <w:rFonts w:ascii="Times New Roman" w:hAnsi="Times New Roman" w:cs="Times New Roman"/>
                <w:b/>
                <w:sz w:val="24"/>
                <w:szCs w:val="24"/>
              </w:rPr>
              <w:t>до 30  работни  дни</w:t>
            </w:r>
            <w:r w:rsidRPr="00FA7E6A">
              <w:rPr>
                <w:rFonts w:ascii="Times New Roman" w:hAnsi="Times New Roman" w:cs="Times New Roman"/>
                <w:sz w:val="24"/>
                <w:szCs w:val="24"/>
              </w:rPr>
              <w:t xml:space="preserve"> от изтичане на крайния срок на приема. </w:t>
            </w:r>
          </w:p>
          <w:p w:rsidR="004E655E" w:rsidRPr="008C7BDB" w:rsidRDefault="004E655E" w:rsidP="001163C1">
            <w:pPr>
              <w:rPr>
                <w:rFonts w:ascii="Times New Roman" w:hAnsi="Times New Roman" w:cs="Times New Roman"/>
                <w:sz w:val="24"/>
                <w:szCs w:val="24"/>
              </w:rPr>
            </w:pPr>
            <w:r w:rsidRPr="008C7BDB">
              <w:rPr>
                <w:rFonts w:ascii="Times New Roman" w:hAnsi="Times New Roman" w:cs="Times New Roman"/>
                <w:sz w:val="24"/>
                <w:szCs w:val="24"/>
              </w:rPr>
              <w:t>3. Оценката на проектните предложения включва:</w:t>
            </w:r>
          </w:p>
          <w:p w:rsidR="004E655E" w:rsidRPr="008C7BDB" w:rsidRDefault="004E655E" w:rsidP="001163C1">
            <w:pPr>
              <w:jc w:val="both"/>
              <w:rPr>
                <w:rFonts w:ascii="Times New Roman" w:hAnsi="Times New Roman" w:cs="Times New Roman"/>
                <w:b/>
                <w:sz w:val="24"/>
                <w:szCs w:val="24"/>
              </w:rPr>
            </w:pPr>
            <w:r>
              <w:rPr>
                <w:rFonts w:ascii="Times New Roman" w:hAnsi="Times New Roman" w:cs="Times New Roman"/>
                <w:b/>
                <w:sz w:val="24"/>
                <w:szCs w:val="24"/>
              </w:rPr>
              <w:t>а</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1</w:t>
            </w:r>
            <w:r w:rsidRPr="008C7BDB">
              <w:rPr>
                <w:rFonts w:ascii="Times New Roman" w:hAnsi="Times New Roman" w:cs="Times New Roman"/>
                <w:b/>
                <w:sz w:val="24"/>
                <w:szCs w:val="24"/>
              </w:rPr>
              <w:t>: Оценка на административното съответствие и допустимостта;</w:t>
            </w:r>
          </w:p>
          <w:p w:rsidR="004E655E" w:rsidRDefault="004E655E" w:rsidP="001163C1">
            <w:pPr>
              <w:jc w:val="both"/>
              <w:rPr>
                <w:rFonts w:ascii="Times New Roman" w:hAnsi="Times New Roman" w:cs="Times New Roman"/>
                <w:b/>
                <w:sz w:val="24"/>
                <w:szCs w:val="24"/>
              </w:rPr>
            </w:pPr>
            <w:r>
              <w:rPr>
                <w:rFonts w:ascii="Times New Roman" w:hAnsi="Times New Roman" w:cs="Times New Roman"/>
                <w:b/>
                <w:sz w:val="24"/>
                <w:szCs w:val="24"/>
              </w:rPr>
              <w:t>б</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2</w:t>
            </w:r>
            <w:r w:rsidRPr="008C7BDB">
              <w:rPr>
                <w:rFonts w:ascii="Times New Roman" w:hAnsi="Times New Roman" w:cs="Times New Roman"/>
                <w:b/>
                <w:sz w:val="24"/>
                <w:szCs w:val="24"/>
              </w:rPr>
              <w:t>: Техническа и финансова оценка.</w:t>
            </w:r>
          </w:p>
          <w:p w:rsidR="004E655E" w:rsidRPr="004A24F1" w:rsidRDefault="004E655E" w:rsidP="001163C1">
            <w:pPr>
              <w:jc w:val="both"/>
              <w:rPr>
                <w:rFonts w:ascii="Times New Roman" w:hAnsi="Times New Roman" w:cs="Times New Roman"/>
                <w:sz w:val="24"/>
                <w:szCs w:val="24"/>
              </w:rPr>
            </w:pPr>
            <w:r w:rsidRPr="00D86DF9">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p w:rsidR="004E655E" w:rsidRPr="00A2252C" w:rsidRDefault="004E655E" w:rsidP="001163C1">
            <w:pPr>
              <w:jc w:val="both"/>
            </w:pPr>
          </w:p>
        </w:tc>
      </w:tr>
    </w:tbl>
    <w:p w:rsidR="004E655E" w:rsidRPr="00582D94" w:rsidRDefault="004E655E" w:rsidP="004E655E">
      <w:pPr>
        <w:pStyle w:val="1"/>
        <w:rPr>
          <w:sz w:val="22"/>
          <w:szCs w:val="22"/>
        </w:rPr>
      </w:pPr>
      <w:bookmarkStart w:id="27" w:name="_Toc505614663"/>
      <w:r>
        <w:rPr>
          <w:sz w:val="22"/>
          <w:szCs w:val="22"/>
        </w:rPr>
        <w:t>20.</w:t>
      </w:r>
      <w:r w:rsidRPr="00582D94">
        <w:rPr>
          <w:sz w:val="22"/>
          <w:szCs w:val="22"/>
        </w:rPr>
        <w:t xml:space="preserve"> </w:t>
      </w:r>
      <w:r>
        <w:rPr>
          <w:sz w:val="22"/>
          <w:szCs w:val="22"/>
        </w:rPr>
        <w:t>Оценка на административното съответствие и допустимост</w:t>
      </w:r>
      <w:r w:rsidRPr="00582D94">
        <w:rPr>
          <w:sz w:val="22"/>
          <w:szCs w:val="22"/>
        </w:rPr>
        <w:t>:</w:t>
      </w:r>
      <w:bookmarkEnd w:id="27"/>
    </w:p>
    <w:tbl>
      <w:tblPr>
        <w:tblStyle w:val="a9"/>
        <w:tblW w:w="0" w:type="auto"/>
        <w:tblLook w:val="04A0" w:firstRow="1" w:lastRow="0" w:firstColumn="1" w:lastColumn="0" w:noHBand="0" w:noVBand="1"/>
      </w:tblPr>
      <w:tblGrid>
        <w:gridCol w:w="9212"/>
      </w:tblGrid>
      <w:tr w:rsidR="004E655E" w:rsidRPr="00582D94" w:rsidTr="001163C1">
        <w:tc>
          <w:tcPr>
            <w:tcW w:w="9212" w:type="dxa"/>
          </w:tcPr>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1.Оценката за административно съответствие и допустимост включва:</w:t>
            </w:r>
          </w:p>
          <w:p w:rsidR="004E655E" w:rsidRPr="00011B43" w:rsidRDefault="004E655E" w:rsidP="001163C1">
            <w:pPr>
              <w:jc w:val="both"/>
              <w:rPr>
                <w:rFonts w:ascii="Times New Roman" w:hAnsi="Times New Roman" w:cs="Times New Roman"/>
                <w:sz w:val="24"/>
                <w:szCs w:val="24"/>
              </w:rPr>
            </w:pPr>
            <w:r>
              <w:rPr>
                <w:rFonts w:ascii="Times New Roman" w:hAnsi="Times New Roman" w:cs="Times New Roman"/>
                <w:sz w:val="24"/>
                <w:szCs w:val="24"/>
              </w:rPr>
              <w:t>а)</w:t>
            </w:r>
            <w:r w:rsidRPr="00011B43">
              <w:rPr>
                <w:rFonts w:ascii="Times New Roman" w:hAnsi="Times New Roman" w:cs="Times New Roman"/>
                <w:sz w:val="24"/>
                <w:szCs w:val="24"/>
              </w:rPr>
              <w:t xml:space="preserve"> оценка на административното съответствие и</w:t>
            </w:r>
            <w:r>
              <w:rPr>
                <w:rFonts w:ascii="Times New Roman" w:hAnsi="Times New Roman" w:cs="Times New Roman"/>
                <w:sz w:val="24"/>
                <w:szCs w:val="24"/>
              </w:rPr>
              <w:t xml:space="preserve"> допустимост на кандидата (АСД),</w:t>
            </w:r>
          </w:p>
          <w:p w:rsidR="004E655E" w:rsidRPr="00011B43" w:rsidRDefault="004E655E" w:rsidP="001163C1">
            <w:pPr>
              <w:jc w:val="both"/>
              <w:rPr>
                <w:rFonts w:ascii="Times New Roman" w:hAnsi="Times New Roman" w:cs="Times New Roman"/>
                <w:sz w:val="24"/>
                <w:szCs w:val="24"/>
              </w:rPr>
            </w:pPr>
            <w:r w:rsidRPr="00011B43">
              <w:rPr>
                <w:rFonts w:ascii="Times New Roman" w:hAnsi="Times New Roman" w:cs="Times New Roman"/>
                <w:sz w:val="24"/>
                <w:szCs w:val="24"/>
              </w:rPr>
              <w:lastRenderedPageBreak/>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б)</w:t>
            </w:r>
            <w:r w:rsidRPr="00011B43">
              <w:rPr>
                <w:rFonts w:ascii="Times New Roman" w:hAnsi="Times New Roman" w:cs="Times New Roman"/>
                <w:sz w:val="24"/>
                <w:szCs w:val="24"/>
              </w:rPr>
              <w:t>оценка на административното съответствие и допустимост на проектното предложение;</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в)</w:t>
            </w:r>
            <w:r w:rsidRPr="005B56E9">
              <w:rPr>
                <w:rFonts w:ascii="Times New Roman" w:hAnsi="Times New Roman" w:cs="Times New Roman"/>
                <w:sz w:val="24"/>
                <w:szCs w:val="24"/>
              </w:rPr>
              <w:t xml:space="preserve">оценка на административното съответствие и допустимост </w:t>
            </w:r>
            <w:r>
              <w:rPr>
                <w:rFonts w:ascii="Times New Roman" w:hAnsi="Times New Roman" w:cs="Times New Roman"/>
                <w:sz w:val="24"/>
                <w:szCs w:val="24"/>
              </w:rPr>
              <w:t>включва и :</w:t>
            </w:r>
          </w:p>
          <w:p w:rsidR="004E655E" w:rsidRPr="004A24F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 </w:t>
            </w:r>
            <w:r w:rsidRPr="0028602A">
              <w:rPr>
                <w:rFonts w:ascii="Times New Roman" w:hAnsi="Times New Roman" w:cs="Times New Roman"/>
                <w:sz w:val="24"/>
                <w:szCs w:val="24"/>
              </w:rPr>
              <w:t>проверка за липса на двойно финансиране;</w:t>
            </w:r>
          </w:p>
          <w:p w:rsidR="004E655E" w:rsidRPr="004A24F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 </w:t>
            </w:r>
            <w:r w:rsidRPr="005B56E9">
              <w:rPr>
                <w:rFonts w:ascii="Times New Roman" w:hAnsi="Times New Roman" w:cs="Times New Roman"/>
                <w:sz w:val="24"/>
                <w:szCs w:val="24"/>
              </w:rPr>
              <w:t xml:space="preserve">проверка за наличие на </w:t>
            </w:r>
            <w:r w:rsidRPr="00112778">
              <w:rPr>
                <w:rFonts w:ascii="Times New Roman" w:hAnsi="Times New Roman" w:cs="Times New Roman"/>
                <w:sz w:val="24"/>
                <w:szCs w:val="24"/>
              </w:rPr>
              <w:t>- проверка за липса на двойно финансиране;</w:t>
            </w:r>
          </w:p>
          <w:p w:rsidR="004E655E" w:rsidRPr="00112778"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xml:space="preserve"> - проверка за наличие на изкуствено създадени условия;</w:t>
            </w:r>
          </w:p>
          <w:p w:rsidR="004E655E" w:rsidRPr="00112778"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проверка за минимални помощи;</w:t>
            </w:r>
          </w:p>
          <w:p w:rsidR="004E655E" w:rsidRPr="00112778"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xml:space="preserve"> - проверка за основателността на предложените за финансиране разходи</w:t>
            </w:r>
          </w:p>
          <w:p w:rsidR="004E655E" w:rsidRPr="004A24F1" w:rsidRDefault="004E655E" w:rsidP="001163C1">
            <w:pPr>
              <w:jc w:val="both"/>
              <w:rPr>
                <w:rFonts w:ascii="Times New Roman" w:hAnsi="Times New Roman" w:cs="Times New Roman"/>
                <w:sz w:val="24"/>
                <w:szCs w:val="24"/>
              </w:rPr>
            </w:pPr>
            <w:r w:rsidRPr="00112778">
              <w:rPr>
                <w:rFonts w:ascii="Times New Roman" w:hAnsi="Times New Roman" w:cs="Times New Roman"/>
                <w:sz w:val="24"/>
                <w:szCs w:val="24"/>
              </w:rPr>
              <w:t>- посещение на място за заявления, включващи разходи за строително-монтажни работи и за създаване на трайни насаждения (когато е приложимо).</w:t>
            </w:r>
            <w:r w:rsidRPr="004A24F1">
              <w:rPr>
                <w:rFonts w:ascii="Times New Roman" w:hAnsi="Times New Roman" w:cs="Times New Roman"/>
                <w:sz w:val="24"/>
                <w:szCs w:val="24"/>
              </w:rPr>
              <w:t xml:space="preserve"> </w:t>
            </w:r>
          </w:p>
          <w:p w:rsidR="004E655E"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2</w:t>
            </w:r>
            <w:r>
              <w:rPr>
                <w:rFonts w:ascii="Times New Roman" w:hAnsi="Times New Roman" w:cs="Times New Roman"/>
                <w:sz w:val="24"/>
                <w:szCs w:val="24"/>
              </w:rPr>
              <w:t>.</w:t>
            </w:r>
            <w:r w:rsidRPr="0028602A">
              <w:rPr>
                <w:rFonts w:ascii="Times New Roman" w:hAnsi="Times New Roman" w:cs="Times New Roman"/>
                <w:sz w:val="24"/>
                <w:szCs w:val="24"/>
              </w:rPr>
              <w:t xml:space="preserve">Оценката на административното съответствие и допустимостта се извършва </w:t>
            </w:r>
            <w:r w:rsidRPr="004B703F">
              <w:rPr>
                <w:rFonts w:ascii="Times New Roman" w:hAnsi="Times New Roman" w:cs="Times New Roman"/>
                <w:b/>
                <w:sz w:val="24"/>
                <w:szCs w:val="24"/>
              </w:rPr>
              <w:t xml:space="preserve">от най-малко от двама членове </w:t>
            </w:r>
            <w:r w:rsidRPr="0028602A">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4B703F">
              <w:rPr>
                <w:rFonts w:ascii="Times New Roman" w:hAnsi="Times New Roman" w:cs="Times New Roman"/>
                <w:b/>
                <w:sz w:val="24"/>
                <w:szCs w:val="24"/>
              </w:rPr>
              <w:t>от 50%.</w:t>
            </w:r>
            <w:r w:rsidRPr="0028602A">
              <w:rPr>
                <w:rFonts w:ascii="Times New Roman" w:hAnsi="Times New Roman" w:cs="Times New Roman"/>
                <w:sz w:val="24"/>
                <w:szCs w:val="24"/>
              </w:rPr>
              <w:t xml:space="preserve"> Те могат да бъдат подпомагани от помощник-оценители.</w:t>
            </w:r>
          </w:p>
          <w:p w:rsidR="004E655E" w:rsidRDefault="004E655E" w:rsidP="001163C1">
            <w:pPr>
              <w:jc w:val="both"/>
              <w:rPr>
                <w:rFonts w:ascii="Times New Roman" w:eastAsia="Times New Roman" w:hAnsi="Times New Roman" w:cs="Times New Roman"/>
                <w:sz w:val="24"/>
                <w:szCs w:val="24"/>
              </w:rPr>
            </w:pPr>
            <w:r w:rsidRPr="009B59BC">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w:t>
            </w:r>
            <w:r w:rsidR="00987A5E" w:rsidRPr="00987A5E">
              <w:rPr>
                <w:rFonts w:ascii="Times New Roman" w:eastAsia="Times New Roman" w:hAnsi="Times New Roman" w:cs="Times New Roman"/>
                <w:i/>
                <w:sz w:val="24"/>
                <w:szCs w:val="24"/>
              </w:rPr>
              <w:t>П</w:t>
            </w:r>
            <w:r w:rsidRPr="00987A5E">
              <w:rPr>
                <w:rFonts w:ascii="Times New Roman" w:eastAsia="Times New Roman" w:hAnsi="Times New Roman" w:cs="Times New Roman"/>
                <w:i/>
                <w:sz w:val="24"/>
                <w:szCs w:val="24"/>
              </w:rPr>
              <w:t>риложение № 2</w:t>
            </w:r>
            <w:r w:rsidR="00987A5E" w:rsidRPr="00987A5E">
              <w:rPr>
                <w:rFonts w:ascii="Times New Roman" w:eastAsia="Times New Roman" w:hAnsi="Times New Roman" w:cs="Times New Roman"/>
                <w:i/>
                <w:sz w:val="24"/>
                <w:szCs w:val="24"/>
              </w:rPr>
              <w:t>6</w:t>
            </w:r>
            <w:r w:rsidR="00987A5E">
              <w:rPr>
                <w:rFonts w:ascii="Times New Roman" w:eastAsia="Times New Roman" w:hAnsi="Times New Roman" w:cs="Times New Roman"/>
                <w:i/>
                <w:sz w:val="24"/>
                <w:szCs w:val="24"/>
              </w:rPr>
              <w:t xml:space="preserve"> от документи за информация</w:t>
            </w:r>
            <w:r w:rsidRPr="00987A5E">
              <w:rPr>
                <w:rFonts w:ascii="Times New Roman" w:eastAsia="Times New Roman" w:hAnsi="Times New Roman" w:cs="Times New Roman"/>
                <w:i/>
                <w:sz w:val="24"/>
                <w:szCs w:val="24"/>
              </w:rPr>
              <w:t xml:space="preserve"> към Условията за кандидатстване</w:t>
            </w:r>
            <w:r w:rsidRPr="009B59BC">
              <w:rPr>
                <w:rFonts w:ascii="Times New Roman" w:eastAsia="Times New Roman" w:hAnsi="Times New Roman" w:cs="Times New Roman"/>
                <w:sz w:val="24"/>
                <w:szCs w:val="24"/>
              </w:rPr>
              <w:t>.</w:t>
            </w:r>
          </w:p>
          <w:p w:rsidR="004E655E" w:rsidRDefault="004E655E" w:rsidP="00116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A59A3">
              <w:rPr>
                <w:rFonts w:ascii="Times New Roman" w:eastAsia="Times New Roman" w:hAnsi="Times New Roman" w:cs="Times New Roman"/>
                <w:color w:val="FF0000"/>
                <w:sz w:val="24"/>
                <w:szCs w:val="24"/>
              </w:rPr>
              <w:t xml:space="preserve"> </w:t>
            </w:r>
            <w:r w:rsidRPr="009B59BC">
              <w:rPr>
                <w:rFonts w:ascii="Times New Roman" w:eastAsia="Times New Roman" w:hAnsi="Times New Roman" w:cs="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4E655E" w:rsidRPr="00324E86" w:rsidRDefault="004E655E" w:rsidP="001163C1">
            <w:pPr>
              <w:jc w:val="both"/>
              <w:rPr>
                <w:rFonts w:ascii="Times New Roman" w:hAnsi="Times New Roman" w:cs="Times New Roman"/>
                <w:b/>
                <w:sz w:val="24"/>
                <w:szCs w:val="24"/>
              </w:rPr>
            </w:pPr>
            <w:r>
              <w:rPr>
                <w:rFonts w:ascii="Times New Roman" w:hAnsi="Times New Roman" w:cs="Times New Roman"/>
                <w:sz w:val="24"/>
                <w:szCs w:val="24"/>
              </w:rPr>
              <w:t>5.</w:t>
            </w:r>
            <w:r w:rsidRPr="005B56E9">
              <w:rPr>
                <w:rFonts w:ascii="Times New Roman" w:hAnsi="Times New Roman" w:cs="Times New Roman"/>
                <w:sz w:val="24"/>
                <w:szCs w:val="24"/>
              </w:rPr>
              <w:t xml:space="preserve"> Когато при проверката по </w:t>
            </w:r>
            <w:r>
              <w:rPr>
                <w:rFonts w:ascii="Times New Roman" w:hAnsi="Times New Roman" w:cs="Times New Roman"/>
                <w:sz w:val="24"/>
                <w:szCs w:val="24"/>
              </w:rPr>
              <w:t>т.1</w:t>
            </w:r>
            <w:r w:rsidRPr="005B56E9">
              <w:rPr>
                <w:rFonts w:ascii="Times New Roman" w:hAnsi="Times New Roman" w:cs="Times New Roman"/>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5B56E9">
              <w:rPr>
                <w:rFonts w:ascii="Times New Roman" w:hAnsi="Times New Roman" w:cs="Times New Roman"/>
                <w:b/>
                <w:sz w:val="24"/>
                <w:szCs w:val="24"/>
              </w:rPr>
              <w:t>не може да бъде по-кратък от една седмица</w:t>
            </w:r>
            <w:r w:rsidRPr="005B56E9">
              <w:rPr>
                <w:rFonts w:ascii="Times New Roman" w:hAnsi="Times New Roman" w:cs="Times New Roman"/>
                <w:sz w:val="24"/>
                <w:szCs w:val="24"/>
              </w:rPr>
              <w:t xml:space="preserve">.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6.</w:t>
            </w:r>
            <w:r w:rsidRPr="005B56E9">
              <w:rPr>
                <w:rFonts w:ascii="Times New Roman" w:hAnsi="Times New Roman" w:cs="Times New Roman"/>
                <w:sz w:val="24"/>
                <w:szCs w:val="24"/>
              </w:rPr>
              <w:t xml:space="preserve">  При не</w:t>
            </w:r>
            <w:r w:rsidR="00987A5E">
              <w:rPr>
                <w:rFonts w:ascii="Times New Roman" w:hAnsi="Times New Roman" w:cs="Times New Roman"/>
                <w:sz w:val="24"/>
                <w:szCs w:val="24"/>
              </w:rPr>
              <w:t xml:space="preserve"> </w:t>
            </w:r>
            <w:r w:rsidRPr="005B56E9">
              <w:rPr>
                <w:rFonts w:ascii="Times New Roman" w:hAnsi="Times New Roman" w:cs="Times New Roman"/>
                <w:sz w:val="24"/>
                <w:szCs w:val="24"/>
              </w:rPr>
              <w:t xml:space="preserve">представяне на изисканата допълнителна информация или разяснения в срок </w:t>
            </w:r>
            <w:r w:rsidRPr="005B56E9">
              <w:rPr>
                <w:rFonts w:ascii="Times New Roman" w:hAnsi="Times New Roman" w:cs="Times New Roman"/>
                <w:sz w:val="24"/>
                <w:szCs w:val="24"/>
              </w:rPr>
              <w:lastRenderedPageBreak/>
              <w:t>проектното предложение може да бъде отхвърлено само и единствено на това основание.</w:t>
            </w:r>
          </w:p>
          <w:p w:rsidR="004E655E" w:rsidRPr="00112778" w:rsidRDefault="004E655E" w:rsidP="001163C1">
            <w:pPr>
              <w:jc w:val="both"/>
              <w:rPr>
                <w:rFonts w:ascii="Times New Roman" w:hAnsi="Times New Roman" w:cs="Times New Roman"/>
                <w:b/>
                <w:sz w:val="24"/>
                <w:szCs w:val="24"/>
              </w:rPr>
            </w:pPr>
            <w:r>
              <w:rPr>
                <w:rFonts w:ascii="Times New Roman" w:hAnsi="Times New Roman" w:cs="Times New Roman"/>
                <w:sz w:val="24"/>
                <w:szCs w:val="24"/>
              </w:rPr>
              <w:t>7.</w:t>
            </w:r>
            <w:r w:rsidRPr="005C4CF5">
              <w:rPr>
                <w:shd w:val="clear" w:color="auto" w:fill="FEFEFE"/>
              </w:rPr>
              <w:t xml:space="preserve"> </w:t>
            </w:r>
            <w:r w:rsidRPr="00112778">
              <w:rPr>
                <w:rFonts w:ascii="Times New Roman" w:hAnsi="Times New Roman" w:cs="Times New Roman"/>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w:t>
            </w:r>
            <w:r w:rsidR="00987A5E">
              <w:rPr>
                <w:rFonts w:ascii="Times New Roman" w:hAnsi="Times New Roman" w:cs="Times New Roman"/>
                <w:sz w:val="24"/>
                <w:szCs w:val="24"/>
              </w:rPr>
              <w:t xml:space="preserve"> </w:t>
            </w:r>
            <w:r w:rsidRPr="00112778">
              <w:rPr>
                <w:rFonts w:ascii="Times New Roman" w:hAnsi="Times New Roman" w:cs="Times New Roman"/>
                <w:sz w:val="24"/>
                <w:szCs w:val="24"/>
              </w:rPr>
              <w:t xml:space="preserve">организационната форма, лицето, представляващо дружеството и други подобни обстоятелства), която </w:t>
            </w:r>
            <w:r w:rsidRPr="00112778">
              <w:rPr>
                <w:rFonts w:ascii="Times New Roman" w:hAnsi="Times New Roman" w:cs="Times New Roman"/>
                <w:b/>
                <w:sz w:val="24"/>
                <w:szCs w:val="24"/>
              </w:rPr>
              <w:t xml:space="preserve">не води до подобряване качеството на първоначалното проектно предложение. </w:t>
            </w:r>
          </w:p>
          <w:p w:rsidR="004E655E" w:rsidRPr="00112778" w:rsidRDefault="004E655E" w:rsidP="001163C1">
            <w:pPr>
              <w:jc w:val="both"/>
              <w:rPr>
                <w:rFonts w:ascii="Times New Roman" w:hAnsi="Times New Roman" w:cs="Times New Roman"/>
                <w:b/>
                <w:sz w:val="24"/>
                <w:szCs w:val="24"/>
              </w:rPr>
            </w:pPr>
            <w:r w:rsidRPr="00112778">
              <w:rPr>
                <w:rFonts w:ascii="Times New Roman" w:hAnsi="Times New Roman" w:cs="Times New Roman"/>
                <w:b/>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4E655E" w:rsidRPr="00586B41" w:rsidRDefault="004E655E" w:rsidP="001163C1">
            <w:pPr>
              <w:jc w:val="both"/>
              <w:rPr>
                <w:rFonts w:ascii="Times New Roman" w:hAnsi="Times New Roman" w:cs="Times New Roman"/>
                <w:sz w:val="24"/>
                <w:szCs w:val="24"/>
              </w:rPr>
            </w:pPr>
            <w:r w:rsidRPr="00586B41">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а)</w:t>
            </w:r>
            <w:r w:rsidRPr="00586B41">
              <w:rPr>
                <w:rFonts w:ascii="Times New Roman" w:hAnsi="Times New Roman" w:cs="Times New Roman"/>
                <w:sz w:val="24"/>
                <w:szCs w:val="24"/>
              </w:rPr>
              <w:t>наличие на недопустими дейности и / или разходи;</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б)</w:t>
            </w:r>
            <w:r w:rsidRPr="00586B41">
              <w:rPr>
                <w:rFonts w:ascii="Times New Roman" w:hAnsi="Times New Roman" w:cs="Times New Roman"/>
                <w:sz w:val="24"/>
                <w:szCs w:val="24"/>
              </w:rPr>
              <w:t>несъответствие между предвидените дейности и видове и видове заложени разходи;</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в)</w:t>
            </w:r>
            <w:r w:rsidRPr="00586B41">
              <w:rPr>
                <w:rFonts w:ascii="Times New Roman" w:hAnsi="Times New Roman" w:cs="Times New Roman"/>
                <w:sz w:val="24"/>
                <w:szCs w:val="24"/>
              </w:rPr>
              <w:t>дублиране на разходи;</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г)</w:t>
            </w:r>
            <w:r w:rsidRPr="00586B41">
              <w:rPr>
                <w:rFonts w:ascii="Times New Roman" w:hAnsi="Times New Roman" w:cs="Times New Roman"/>
                <w:sz w:val="24"/>
                <w:szCs w:val="24"/>
              </w:rPr>
              <w:t>неспазване на заложените правила или ограничения по отношение на заложени процентни съотношения/праговете на разходите;</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д)</w:t>
            </w:r>
            <w:r w:rsidRPr="00586B41">
              <w:rPr>
                <w:rFonts w:ascii="Times New Roman" w:hAnsi="Times New Roman" w:cs="Times New Roman"/>
                <w:sz w:val="24"/>
                <w:szCs w:val="24"/>
              </w:rPr>
              <w:t>несъответствие с правилата за държавните или минимални те помощи;</w:t>
            </w:r>
          </w:p>
          <w:p w:rsidR="00A46063" w:rsidRDefault="00A46063" w:rsidP="00F462F6">
            <w:pPr>
              <w:spacing w:after="0" w:line="240" w:lineRule="auto"/>
              <w:jc w:val="both"/>
              <w:rPr>
                <w:rFonts w:ascii="Times New Roman" w:hAnsi="Times New Roman" w:cs="Times New Roman"/>
                <w:sz w:val="24"/>
                <w:szCs w:val="24"/>
              </w:rPr>
            </w:pPr>
            <w:r w:rsidRPr="00A46063">
              <w:rPr>
                <w:rFonts w:ascii="Times New Roman" w:hAnsi="Times New Roman" w:cs="Times New Roman"/>
                <w:sz w:val="24"/>
                <w:szCs w:val="24"/>
              </w:rPr>
              <w:t xml:space="preserve">Оценителната комисия </w:t>
            </w:r>
            <w:r w:rsidRPr="00A46063">
              <w:rPr>
                <w:rFonts w:ascii="Times New Roman" w:eastAsia="Times New Roman" w:hAnsi="Times New Roman" w:cs="Times New Roman"/>
                <w:color w:val="000000"/>
                <w:sz w:val="24"/>
                <w:szCs w:val="24"/>
                <w:lang w:eastAsia="bg-BG"/>
              </w:rPr>
              <w:t xml:space="preserve">Попълва </w:t>
            </w:r>
            <w:r w:rsidR="00F462F6" w:rsidRPr="00F462F6">
              <w:rPr>
                <w:rFonts w:ascii="Times New Roman" w:eastAsia="Times New Roman" w:hAnsi="Times New Roman" w:cs="Times New Roman"/>
                <w:color w:val="000000"/>
                <w:sz w:val="24"/>
                <w:szCs w:val="24"/>
                <w:lang w:eastAsia="bg-BG"/>
              </w:rPr>
              <w:t>Приложение_31</w:t>
            </w:r>
            <w:r w:rsidR="00F462F6" w:rsidRPr="00730F4A">
              <w:rPr>
                <w:rFonts w:ascii="Times New Roman" w:eastAsia="Times New Roman" w:hAnsi="Times New Roman" w:cs="Times New Roman"/>
                <w:color w:val="000000"/>
                <w:sz w:val="24"/>
                <w:szCs w:val="24"/>
                <w:lang w:val="ru-RU" w:eastAsia="bg-BG"/>
              </w:rPr>
              <w:t xml:space="preserve"> от документи за информация към условията за кандидатстване - </w:t>
            </w:r>
            <w:r w:rsidRPr="00A46063">
              <w:rPr>
                <w:rFonts w:ascii="Times New Roman" w:eastAsia="Times New Roman" w:hAnsi="Times New Roman" w:cs="Times New Roman"/>
                <w:color w:val="000000"/>
                <w:sz w:val="24"/>
                <w:szCs w:val="24"/>
                <w:lang w:eastAsia="bg-BG"/>
              </w:rPr>
              <w:t>Таблица 1 - одобрен размер на допустимите разходи, която е неразделна част от оценителната таблицата за АСД.</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9. </w:t>
            </w:r>
            <w:r w:rsidRPr="00586B41">
              <w:rPr>
                <w:rFonts w:ascii="Times New Roman" w:hAnsi="Times New Roman" w:cs="Times New Roman"/>
                <w:sz w:val="24"/>
                <w:szCs w:val="24"/>
              </w:rPr>
              <w:t xml:space="preserve">Корекциите на бюджета  на проектното предложение не водят до: </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а)</w:t>
            </w:r>
            <w:r w:rsidRPr="00586B41">
              <w:rPr>
                <w:rFonts w:ascii="Times New Roman" w:hAnsi="Times New Roman" w:cs="Times New Roman"/>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б</w:t>
            </w:r>
            <w:r w:rsidRPr="00586B41">
              <w:rPr>
                <w:rFonts w:ascii="Times New Roman" w:hAnsi="Times New Roman" w:cs="Times New Roman"/>
                <w:sz w:val="24"/>
                <w:szCs w:val="24"/>
              </w:rPr>
              <w:t xml:space="preserve">. невъзможност за изпълнение на целите на проекта или на проектните дейности; </w:t>
            </w:r>
          </w:p>
          <w:p w:rsidR="004E655E" w:rsidRPr="00586B41"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 в) </w:t>
            </w:r>
            <w:r w:rsidRPr="00586B41">
              <w:rPr>
                <w:rFonts w:ascii="Times New Roman" w:hAnsi="Times New Roman" w:cs="Times New Roman"/>
                <w:sz w:val="24"/>
                <w:szCs w:val="24"/>
              </w:rPr>
              <w:t>подобряване на качеството на проектното предложение и нарушаване на принципите по чл. 29, ал. 1, т. 1 и 2 ЗУСЕСИФ.</w:t>
            </w:r>
          </w:p>
          <w:p w:rsidR="004E655E" w:rsidRPr="00586B41" w:rsidRDefault="004E655E" w:rsidP="00116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sidRPr="00586B41">
              <w:rPr>
                <w:rFonts w:ascii="Times New Roman" w:eastAsia="Times New Roman" w:hAnsi="Times New Roman" w:cs="Times New Roman"/>
                <w:sz w:val="24"/>
                <w:szCs w:val="24"/>
              </w:rPr>
              <w:t>След приключване на оценката на административното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4E655E" w:rsidRPr="00FD716C" w:rsidRDefault="004E655E" w:rsidP="001163C1">
            <w:pPr>
              <w:jc w:val="both"/>
              <w:rPr>
                <w:rFonts w:ascii="Times New Roman" w:hAnsi="Times New Roman" w:cs="Times New Roman"/>
                <w:color w:val="FF0000"/>
                <w:sz w:val="24"/>
                <w:szCs w:val="24"/>
              </w:rPr>
            </w:pPr>
          </w:p>
          <w:p w:rsidR="004E655E" w:rsidRDefault="004E655E" w:rsidP="001163C1">
            <w:pPr>
              <w:tabs>
                <w:tab w:val="left" w:pos="851"/>
              </w:tabs>
              <w:jc w:val="both"/>
              <w:rPr>
                <w:rFonts w:ascii="Times New Roman" w:hAnsi="Times New Roman" w:cs="Times New Roman"/>
                <w:b/>
                <w:sz w:val="24"/>
                <w:szCs w:val="24"/>
              </w:rPr>
            </w:pPr>
            <w:r w:rsidRPr="00C34D27">
              <w:rPr>
                <w:rFonts w:ascii="Times New Roman" w:hAnsi="Times New Roman" w:cs="Times New Roman"/>
                <w:b/>
                <w:sz w:val="24"/>
                <w:szCs w:val="24"/>
              </w:rPr>
              <w:t>В</w:t>
            </w:r>
            <w:r>
              <w:rPr>
                <w:rFonts w:ascii="Times New Roman" w:hAnsi="Times New Roman" w:cs="Times New Roman"/>
                <w:b/>
                <w:sz w:val="24"/>
                <w:szCs w:val="24"/>
              </w:rPr>
              <w:t>АЖНО</w:t>
            </w:r>
            <w:r w:rsidRPr="00C34D27">
              <w:rPr>
                <w:rFonts w:ascii="Times New Roman" w:hAnsi="Times New Roman" w:cs="Times New Roman"/>
                <w:b/>
                <w:sz w:val="24"/>
                <w:szCs w:val="24"/>
              </w:rPr>
              <w:t>:</w:t>
            </w:r>
          </w:p>
          <w:p w:rsidR="004E655E" w:rsidRPr="00C34D27" w:rsidRDefault="004E655E" w:rsidP="001163C1">
            <w:pPr>
              <w:tabs>
                <w:tab w:val="left" w:pos="851"/>
              </w:tabs>
              <w:jc w:val="both"/>
              <w:rPr>
                <w:rFonts w:ascii="Times New Roman" w:hAnsi="Times New Roman" w:cs="Times New Roman"/>
                <w:b/>
                <w:sz w:val="24"/>
                <w:szCs w:val="24"/>
              </w:rPr>
            </w:pPr>
            <w:r w:rsidRPr="00C34D27">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rFonts w:ascii="Times New Roman" w:hAnsi="Times New Roman" w:cs="Times New Roman"/>
                <w:b/>
                <w:sz w:val="24"/>
                <w:szCs w:val="24"/>
              </w:rPr>
              <w:t xml:space="preserve"> </w:t>
            </w:r>
            <w:r w:rsidRPr="00C34D27">
              <w:rPr>
                <w:rFonts w:ascii="Times New Roman" w:hAnsi="Times New Roman" w:cs="Times New Roman"/>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4E655E" w:rsidRPr="00582D94" w:rsidRDefault="004E655E" w:rsidP="001163C1">
            <w:pPr>
              <w:jc w:val="both"/>
            </w:pPr>
            <w:r w:rsidRPr="008C0977">
              <w:rPr>
                <w:rFonts w:ascii="Times New Roman" w:eastAsia="Times New Roman" w:hAnsi="Times New Roman" w:cs="Times New Roman"/>
                <w:sz w:val="24"/>
                <w:szCs w:val="24"/>
              </w:rPr>
              <w:t>Кандидатът може по всяко време да оттегли изцяло или частично проектното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или приложените към него документи</w:t>
            </w:r>
            <w:r w:rsidRPr="008C0977">
              <w:rPr>
                <w:rFonts w:ascii="Times New Roman" w:eastAsia="Times New Roman" w:hAnsi="Times New Roman" w:cs="Times New Roman"/>
                <w:sz w:val="24"/>
                <w:szCs w:val="24"/>
              </w:rPr>
              <w:t xml:space="preserve"> като подаде писмено искане до изпълнителния директор на </w:t>
            </w:r>
            <w:r>
              <w:rPr>
                <w:rFonts w:ascii="Times New Roman" w:eastAsia="Times New Roman" w:hAnsi="Times New Roman" w:cs="Times New Roman"/>
                <w:sz w:val="24"/>
                <w:szCs w:val="24"/>
              </w:rPr>
              <w:t xml:space="preserve">МИГ </w:t>
            </w:r>
            <w:r w:rsidRPr="008C0977">
              <w:rPr>
                <w:rFonts w:ascii="Times New Roman" w:eastAsia="Times New Roman" w:hAnsi="Times New Roman" w:cs="Times New Roman"/>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4E655E" w:rsidRPr="00582D94" w:rsidRDefault="004E655E" w:rsidP="004E655E">
      <w:pPr>
        <w:pStyle w:val="1"/>
        <w:rPr>
          <w:sz w:val="22"/>
          <w:szCs w:val="22"/>
        </w:rPr>
      </w:pPr>
      <w:bookmarkStart w:id="28" w:name="_Toc505614664"/>
      <w:r>
        <w:rPr>
          <w:sz w:val="22"/>
          <w:szCs w:val="22"/>
        </w:rPr>
        <w:lastRenderedPageBreak/>
        <w:t>21. Техническа и финансова оценка</w:t>
      </w:r>
      <w:r w:rsidRPr="00582D94">
        <w:rPr>
          <w:sz w:val="22"/>
          <w:szCs w:val="22"/>
        </w:rPr>
        <w:t>:</w:t>
      </w:r>
      <w:bookmarkEnd w:id="28"/>
    </w:p>
    <w:tbl>
      <w:tblPr>
        <w:tblStyle w:val="a9"/>
        <w:tblW w:w="0" w:type="auto"/>
        <w:tblLook w:val="04A0" w:firstRow="1" w:lastRow="0" w:firstColumn="1" w:lastColumn="0" w:noHBand="0" w:noVBand="1"/>
      </w:tblPr>
      <w:tblGrid>
        <w:gridCol w:w="9212"/>
      </w:tblGrid>
      <w:tr w:rsidR="004E655E" w:rsidRPr="00582D94" w:rsidTr="001163C1">
        <w:trPr>
          <w:trHeight w:val="1593"/>
        </w:trPr>
        <w:tc>
          <w:tcPr>
            <w:tcW w:w="9212" w:type="dxa"/>
          </w:tcPr>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w:t>
            </w:r>
            <w:r>
              <w:rPr>
                <w:rFonts w:ascii="Times New Roman" w:hAnsi="Times New Roman" w:cs="Times New Roman"/>
                <w:sz w:val="24"/>
                <w:szCs w:val="24"/>
              </w:rPr>
              <w:t xml:space="preserve"> т. 22</w:t>
            </w:r>
            <w:r w:rsidRPr="005B339B">
              <w:rPr>
                <w:rFonts w:ascii="Times New Roman" w:hAnsi="Times New Roman" w:cs="Times New Roman"/>
                <w:sz w:val="24"/>
                <w:szCs w:val="24"/>
              </w:rPr>
              <w:t xml:space="preserve">, т. 27 „Допълнителна информация“ и указанията, разписани подробно в </w:t>
            </w:r>
            <w:r w:rsidR="00987A5E" w:rsidRPr="00987A5E">
              <w:rPr>
                <w:rFonts w:ascii="Times New Roman" w:hAnsi="Times New Roman" w:cs="Times New Roman"/>
                <w:i/>
                <w:sz w:val="24"/>
                <w:szCs w:val="24"/>
              </w:rPr>
              <w:t xml:space="preserve">Приложение № 27 </w:t>
            </w:r>
            <w:r w:rsidRPr="00987A5E">
              <w:rPr>
                <w:rFonts w:ascii="Times New Roman" w:hAnsi="Times New Roman" w:cs="Times New Roman"/>
                <w:i/>
                <w:sz w:val="24"/>
                <w:szCs w:val="24"/>
              </w:rPr>
              <w:t xml:space="preserve"> </w:t>
            </w:r>
            <w:r w:rsidR="00987A5E">
              <w:rPr>
                <w:rFonts w:ascii="Times New Roman" w:hAnsi="Times New Roman" w:cs="Times New Roman"/>
                <w:i/>
                <w:sz w:val="24"/>
                <w:szCs w:val="24"/>
              </w:rPr>
              <w:t xml:space="preserve">от документи за информация </w:t>
            </w:r>
            <w:r w:rsidRPr="00987A5E">
              <w:rPr>
                <w:rFonts w:ascii="Times New Roman" w:hAnsi="Times New Roman" w:cs="Times New Roman"/>
                <w:i/>
                <w:sz w:val="24"/>
                <w:szCs w:val="24"/>
              </w:rPr>
              <w:t xml:space="preserve"> към Условията за </w:t>
            </w:r>
            <w:r w:rsidRPr="00987A5E">
              <w:rPr>
                <w:rFonts w:ascii="Times New Roman" w:hAnsi="Times New Roman" w:cs="Times New Roman"/>
                <w:i/>
                <w:sz w:val="24"/>
                <w:szCs w:val="24"/>
              </w:rPr>
              <w:lastRenderedPageBreak/>
              <w:t>кандидатстване</w:t>
            </w:r>
            <w:r w:rsidRPr="005B339B">
              <w:rPr>
                <w:rFonts w:ascii="Times New Roman" w:hAnsi="Times New Roman" w:cs="Times New Roman"/>
                <w:sz w:val="24"/>
                <w:szCs w:val="24"/>
              </w:rPr>
              <w:t>.</w:t>
            </w:r>
          </w:p>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4E655E" w:rsidRPr="005B339B" w:rsidRDefault="004E655E" w:rsidP="001163C1">
            <w:pPr>
              <w:jc w:val="both"/>
              <w:rPr>
                <w:rFonts w:ascii="Times New Roman" w:hAnsi="Times New Roman" w:cs="Times New Roman"/>
                <w:sz w:val="24"/>
                <w:szCs w:val="24"/>
              </w:rPr>
            </w:pPr>
            <w:r w:rsidRPr="005B339B">
              <w:rPr>
                <w:rFonts w:ascii="Times New Roman" w:hAnsi="Times New Roman" w:cs="Times New Roman"/>
                <w:sz w:val="24"/>
                <w:szCs w:val="24"/>
              </w:rPr>
              <w:t>Уведомлението и цялата кореспонденция се извършва в ИСУН.</w:t>
            </w:r>
          </w:p>
          <w:p w:rsidR="004E655E" w:rsidRPr="005B339B" w:rsidRDefault="004E655E" w:rsidP="001163C1">
            <w:pPr>
              <w:jc w:val="both"/>
              <w:rPr>
                <w:rFonts w:ascii="Times New Roman" w:hAnsi="Times New Roman" w:cs="Times New Roman"/>
                <w:b/>
                <w:sz w:val="24"/>
                <w:szCs w:val="24"/>
              </w:rPr>
            </w:pPr>
            <w:r w:rsidRPr="005B339B">
              <w:rPr>
                <w:rFonts w:ascii="Times New Roman" w:hAnsi="Times New Roman" w:cs="Times New Roman"/>
                <w:sz w:val="24"/>
                <w:szCs w:val="24"/>
              </w:rPr>
              <w:t xml:space="preserve"> </w:t>
            </w:r>
            <w:r w:rsidRPr="005B339B">
              <w:rPr>
                <w:rFonts w:ascii="Times New Roman" w:hAnsi="Times New Roman" w:cs="Times New Roman"/>
                <w:b/>
                <w:sz w:val="24"/>
                <w:szCs w:val="24"/>
              </w:rPr>
              <w:t>ВАЖНО:</w:t>
            </w:r>
          </w:p>
          <w:p w:rsidR="004E655E" w:rsidRDefault="004E655E" w:rsidP="001163C1">
            <w:pPr>
              <w:jc w:val="both"/>
              <w:rPr>
                <w:rFonts w:ascii="Times New Roman" w:hAnsi="Times New Roman" w:cs="Times New Roman"/>
                <w:b/>
                <w:sz w:val="24"/>
                <w:szCs w:val="24"/>
                <w:shd w:val="clear" w:color="auto" w:fill="FEFEFE"/>
              </w:rPr>
            </w:pPr>
            <w:r w:rsidRPr="005B339B">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rFonts w:ascii="Times New Roman" w:hAnsi="Times New Roman" w:cs="Times New Roman"/>
                <w:b/>
                <w:sz w:val="24"/>
                <w:szCs w:val="24"/>
                <w:shd w:val="clear" w:color="auto" w:fill="FEFEFE"/>
              </w:rPr>
              <w:t xml:space="preserve"> </w:t>
            </w:r>
          </w:p>
          <w:p w:rsidR="004E655E" w:rsidRPr="005B339B" w:rsidRDefault="004E655E" w:rsidP="001163C1">
            <w:pPr>
              <w:jc w:val="both"/>
              <w:rPr>
                <w:rFonts w:ascii="Times New Roman" w:hAnsi="Times New Roman" w:cs="Times New Roman"/>
                <w:sz w:val="24"/>
                <w:szCs w:val="24"/>
                <w:shd w:val="clear" w:color="auto" w:fill="FEFEFE"/>
              </w:rPr>
            </w:pPr>
            <w:r w:rsidRPr="005B339B">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p>
          <w:p w:rsidR="004E655E" w:rsidRPr="00EC3C2D" w:rsidRDefault="004E655E" w:rsidP="001163C1">
            <w:pPr>
              <w:rPr>
                <w:rFonts w:ascii="Times New Roman" w:hAnsi="Times New Roman" w:cs="Times New Roman"/>
                <w:sz w:val="24"/>
                <w:szCs w:val="24"/>
                <w:shd w:val="clear" w:color="auto" w:fill="FEFEFE"/>
              </w:rPr>
            </w:pPr>
            <w:r w:rsidRPr="00EC3C2D">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rFonts w:ascii="Times New Roman" w:hAnsi="Times New Roman" w:cs="Times New Roman"/>
                <w:sz w:val="24"/>
                <w:szCs w:val="24"/>
                <w:shd w:val="clear" w:color="auto" w:fill="FEFEFE"/>
              </w:rPr>
              <w:t>.</w:t>
            </w:r>
          </w:p>
        </w:tc>
      </w:tr>
    </w:tbl>
    <w:p w:rsidR="004E655E" w:rsidRPr="002B60ED" w:rsidRDefault="004E655E" w:rsidP="004E655E">
      <w:pPr>
        <w:pStyle w:val="1"/>
        <w:rPr>
          <w:sz w:val="22"/>
          <w:szCs w:val="22"/>
        </w:rPr>
      </w:pPr>
      <w:bookmarkStart w:id="29" w:name="_Toc505614665"/>
      <w:r w:rsidRPr="002B60ED">
        <w:rPr>
          <w:sz w:val="22"/>
          <w:szCs w:val="22"/>
        </w:rPr>
        <w:lastRenderedPageBreak/>
        <w:t>22. Критерии и методика за оценка на проектните предложения:</w:t>
      </w:r>
      <w:bookmarkEnd w:id="29"/>
    </w:p>
    <w:tbl>
      <w:tblPr>
        <w:tblStyle w:val="a9"/>
        <w:tblW w:w="0" w:type="auto"/>
        <w:tblLook w:val="04A0" w:firstRow="1" w:lastRow="0" w:firstColumn="1" w:lastColumn="0" w:noHBand="0" w:noVBand="1"/>
      </w:tblPr>
      <w:tblGrid>
        <w:gridCol w:w="9212"/>
      </w:tblGrid>
      <w:tr w:rsidR="004E655E" w:rsidRPr="002B60ED" w:rsidTr="001163C1">
        <w:trPr>
          <w:trHeight w:val="3053"/>
        </w:trPr>
        <w:tc>
          <w:tcPr>
            <w:tcW w:w="9212" w:type="dxa"/>
          </w:tcPr>
          <w:p w:rsidR="004E655E" w:rsidRDefault="004E655E" w:rsidP="001163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 Постъпилите проектни предложения се оценяват в съответствие със следните критерии за подбор:</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421"/>
              <w:gridCol w:w="1701"/>
            </w:tblGrid>
            <w:tr w:rsidR="004E655E" w:rsidRPr="004A24F1" w:rsidTr="00A46063">
              <w:trPr>
                <w:trHeight w:val="520"/>
                <w:tblHeader/>
              </w:trPr>
              <w:tc>
                <w:tcPr>
                  <w:tcW w:w="3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both"/>
                    <w:rPr>
                      <w:rFonts w:ascii="Times New Roman" w:hAnsi="Times New Roman"/>
                      <w:color w:val="244061"/>
                      <w:sz w:val="24"/>
                      <w:szCs w:val="24"/>
                      <w:lang w:eastAsia="sr-Cyrl-CS"/>
                    </w:rPr>
                  </w:pPr>
                </w:p>
              </w:tc>
              <w:tc>
                <w:tcPr>
                  <w:tcW w:w="64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center"/>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 xml:space="preserve">КРИТЕРИИ ЗА ИЗБОР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center"/>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Максимален брой точки</w:t>
                  </w:r>
                </w:p>
              </w:tc>
            </w:tr>
            <w:tr w:rsidR="004E655E" w:rsidRPr="004A24F1" w:rsidTr="00A46063">
              <w:trPr>
                <w:trHeight w:val="684"/>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1</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highlight w:val="yellow"/>
                      <w:lang w:eastAsia="sr-Cyrl-CS"/>
                    </w:rPr>
                  </w:pPr>
                  <w:r w:rsidRPr="004A24F1">
                    <w:rPr>
                      <w:rFonts w:ascii="Times New Roman" w:hAnsi="Times New Roman"/>
                      <w:sz w:val="24"/>
                      <w:szCs w:val="24"/>
                      <w:lang w:eastAsia="sr-Cyrl-CS"/>
                    </w:rPr>
                    <w:t>Обектът, който се финансира по проектът обслужва повече от 1 населени места</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15</w:t>
                  </w:r>
                </w:p>
              </w:tc>
            </w:tr>
            <w:tr w:rsidR="004E655E" w:rsidRPr="004A24F1" w:rsidTr="00A46063">
              <w:trPr>
                <w:trHeight w:val="389"/>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2</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highlight w:val="yellow"/>
                      <w:lang w:eastAsia="sr-Cyrl-CS"/>
                    </w:rPr>
                  </w:pPr>
                  <w:r w:rsidRPr="004A24F1">
                    <w:rPr>
                      <w:rFonts w:ascii="Times New Roman" w:hAnsi="Times New Roman"/>
                      <w:sz w:val="24"/>
                      <w:szCs w:val="24"/>
                      <w:lang w:eastAsia="sr-Cyrl-CS"/>
                    </w:rPr>
                    <w:t>Целевата група по проекта са млади хора до 29 г.</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12</w:t>
                  </w:r>
                </w:p>
              </w:tc>
            </w:tr>
            <w:tr w:rsidR="004E655E" w:rsidRPr="004A24F1" w:rsidTr="00A46063">
              <w:trPr>
                <w:trHeight w:val="744"/>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3</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highlight w:val="yellow"/>
                      <w:lang w:eastAsia="sr-Cyrl-CS"/>
                    </w:rPr>
                  </w:pPr>
                  <w:r w:rsidRPr="004A24F1">
                    <w:rPr>
                      <w:rFonts w:ascii="Times New Roman" w:hAnsi="Times New Roman"/>
                      <w:sz w:val="24"/>
                      <w:szCs w:val="24"/>
                      <w:lang w:eastAsia="sr-Cyrl-CS"/>
                    </w:rPr>
                    <w:t>Проектът съдържа мерки за повишаване на енергийната ефективност</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10</w:t>
                  </w:r>
                </w:p>
              </w:tc>
            </w:tr>
            <w:tr w:rsidR="004E655E" w:rsidRPr="004A24F1" w:rsidTr="00A46063">
              <w:trPr>
                <w:trHeight w:val="371"/>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4</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 xml:space="preserve">Проектът е за подобряване на физическата среда в </w:t>
                  </w:r>
                  <w:r w:rsidRPr="004A24F1">
                    <w:rPr>
                      <w:rFonts w:ascii="Times New Roman" w:hAnsi="Times New Roman"/>
                      <w:sz w:val="24"/>
                      <w:szCs w:val="24"/>
                      <w:lang w:eastAsia="sr-Cyrl-CS"/>
                    </w:rPr>
                    <w:lastRenderedPageBreak/>
                    <w:t>населените места</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lastRenderedPageBreak/>
                    <w:t>10</w:t>
                  </w:r>
                </w:p>
              </w:tc>
            </w:tr>
            <w:tr w:rsidR="004E655E" w:rsidRPr="004A24F1" w:rsidTr="00A46063">
              <w:trPr>
                <w:trHeight w:val="744"/>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lastRenderedPageBreak/>
                    <w:t>5</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Проектът предвижда допълнителни съоръжения за хора с увреждания, извън законово изискуемите съгласно вида на строежа</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5</w:t>
                  </w:r>
                </w:p>
              </w:tc>
            </w:tr>
            <w:tr w:rsidR="004E655E" w:rsidRPr="004A24F1" w:rsidTr="00A46063">
              <w:trPr>
                <w:trHeight w:val="353"/>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6</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jc w:val="both"/>
                    <w:rPr>
                      <w:rFonts w:ascii="Times New Roman" w:hAnsi="Times New Roman"/>
                      <w:sz w:val="24"/>
                      <w:szCs w:val="24"/>
                    </w:rPr>
                  </w:pPr>
                  <w:r w:rsidRPr="004A24F1">
                    <w:rPr>
                      <w:rFonts w:ascii="Times New Roman" w:hAnsi="Times New Roman"/>
                      <w:sz w:val="24"/>
                      <w:szCs w:val="24"/>
                      <w:lang w:eastAsia="sr-Cyrl-CS"/>
                    </w:rPr>
                    <w:t>Проектът се реализира в населени места извън общинския център</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5</w:t>
                  </w:r>
                </w:p>
              </w:tc>
            </w:tr>
            <w:tr w:rsidR="004E655E" w:rsidRPr="004A24F1" w:rsidTr="00A46063">
              <w:trPr>
                <w:trHeight w:val="371"/>
              </w:trPr>
              <w:tc>
                <w:tcPr>
                  <w:tcW w:w="378"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both"/>
                    <w:rPr>
                      <w:rFonts w:ascii="Times New Roman" w:hAnsi="Times New Roman"/>
                      <w:sz w:val="24"/>
                      <w:szCs w:val="24"/>
                      <w:lang w:eastAsia="sr-Cyrl-CS"/>
                    </w:rPr>
                  </w:pPr>
                  <w:r w:rsidRPr="004A24F1">
                    <w:rPr>
                      <w:rFonts w:ascii="Times New Roman" w:hAnsi="Times New Roman"/>
                      <w:sz w:val="24"/>
                      <w:szCs w:val="24"/>
                      <w:lang w:eastAsia="sr-Cyrl-CS"/>
                    </w:rPr>
                    <w:t>7</w:t>
                  </w:r>
                </w:p>
              </w:tc>
              <w:tc>
                <w:tcPr>
                  <w:tcW w:w="642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jc w:val="both"/>
                    <w:rPr>
                      <w:rFonts w:ascii="Times New Roman" w:hAnsi="Times New Roman"/>
                      <w:sz w:val="24"/>
                      <w:szCs w:val="24"/>
                    </w:rPr>
                  </w:pPr>
                  <w:r w:rsidRPr="004A24F1">
                    <w:rPr>
                      <w:rFonts w:ascii="Times New Roman" w:hAnsi="Times New Roman"/>
                      <w:sz w:val="24"/>
                      <w:szCs w:val="24"/>
                      <w:lang w:eastAsia="sr-Cyrl-CS"/>
                    </w:rPr>
                    <w:t>Дейностите по проекта са свързани с други мерки на СВОМР</w:t>
                  </w:r>
                </w:p>
              </w:tc>
              <w:tc>
                <w:tcPr>
                  <w:tcW w:w="1701" w:type="dxa"/>
                  <w:tcBorders>
                    <w:top w:val="single" w:sz="4" w:space="0" w:color="auto"/>
                    <w:left w:val="single" w:sz="4" w:space="0" w:color="auto"/>
                    <w:bottom w:val="single" w:sz="4" w:space="0" w:color="auto"/>
                    <w:right w:val="single" w:sz="4" w:space="0" w:color="auto"/>
                  </w:tcBorders>
                </w:tcPr>
                <w:p w:rsidR="004E655E" w:rsidRPr="004A24F1" w:rsidRDefault="004E655E" w:rsidP="001163C1">
                  <w:pPr>
                    <w:tabs>
                      <w:tab w:val="left" w:pos="720"/>
                      <w:tab w:val="num" w:pos="1800"/>
                      <w:tab w:val="center" w:pos="4153"/>
                      <w:tab w:val="right" w:pos="8306"/>
                    </w:tabs>
                    <w:jc w:val="center"/>
                    <w:rPr>
                      <w:rFonts w:ascii="Times New Roman" w:hAnsi="Times New Roman"/>
                      <w:sz w:val="24"/>
                      <w:szCs w:val="24"/>
                      <w:lang w:eastAsia="sr-Cyrl-CS"/>
                    </w:rPr>
                  </w:pPr>
                  <w:r w:rsidRPr="004A24F1">
                    <w:rPr>
                      <w:rFonts w:ascii="Times New Roman" w:hAnsi="Times New Roman"/>
                      <w:sz w:val="24"/>
                      <w:szCs w:val="24"/>
                      <w:lang w:eastAsia="sr-Cyrl-CS"/>
                    </w:rPr>
                    <w:t>3</w:t>
                  </w:r>
                </w:p>
              </w:tc>
            </w:tr>
            <w:tr w:rsidR="004E655E" w:rsidRPr="004A24F1" w:rsidTr="00A46063">
              <w:trPr>
                <w:trHeight w:val="725"/>
              </w:trPr>
              <w:tc>
                <w:tcPr>
                  <w:tcW w:w="3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both"/>
                    <w:rPr>
                      <w:rFonts w:ascii="Times New Roman" w:hAnsi="Times New Roman"/>
                      <w:color w:val="244061"/>
                      <w:sz w:val="24"/>
                      <w:szCs w:val="24"/>
                      <w:lang w:eastAsia="sr-Cyrl-CS"/>
                    </w:rPr>
                  </w:pPr>
                </w:p>
              </w:tc>
              <w:tc>
                <w:tcPr>
                  <w:tcW w:w="64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tabs>
                      <w:tab w:val="left" w:pos="720"/>
                      <w:tab w:val="num" w:pos="1800"/>
                      <w:tab w:val="center" w:pos="4153"/>
                      <w:tab w:val="right" w:pos="8306"/>
                    </w:tabs>
                    <w:jc w:val="right"/>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ОБЩО</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E655E" w:rsidRPr="004A24F1" w:rsidRDefault="004E655E" w:rsidP="001163C1">
                  <w:pPr>
                    <w:jc w:val="center"/>
                    <w:rPr>
                      <w:rFonts w:ascii="Times New Roman" w:hAnsi="Times New Roman"/>
                      <w:b/>
                      <w:color w:val="244061"/>
                      <w:sz w:val="24"/>
                      <w:szCs w:val="24"/>
                      <w:lang w:eastAsia="sr-Cyrl-CS"/>
                    </w:rPr>
                  </w:pPr>
                  <w:r w:rsidRPr="004A24F1">
                    <w:rPr>
                      <w:rFonts w:ascii="Times New Roman" w:hAnsi="Times New Roman"/>
                      <w:b/>
                      <w:color w:val="244061"/>
                      <w:sz w:val="24"/>
                      <w:szCs w:val="24"/>
                      <w:lang w:eastAsia="sr-Cyrl-CS"/>
                    </w:rPr>
                    <w:t>60</w:t>
                  </w:r>
                </w:p>
              </w:tc>
            </w:tr>
          </w:tbl>
          <w:p w:rsidR="004E655E" w:rsidRPr="004A24F1" w:rsidRDefault="004E655E" w:rsidP="001163C1">
            <w:pPr>
              <w:jc w:val="both"/>
              <w:rPr>
                <w:rFonts w:ascii="Times New Roman" w:eastAsia="Times New Roman" w:hAnsi="Times New Roman" w:cs="Times New Roman"/>
                <w:b/>
                <w:sz w:val="24"/>
                <w:szCs w:val="24"/>
                <w:shd w:val="clear" w:color="auto" w:fill="FEFEFE"/>
              </w:rPr>
            </w:pPr>
            <w:r w:rsidRPr="004A24F1">
              <w:rPr>
                <w:rFonts w:ascii="Times New Roman" w:eastAsia="Times New Roman" w:hAnsi="Times New Roman" w:cs="Times New Roman"/>
                <w:b/>
                <w:sz w:val="24"/>
                <w:szCs w:val="24"/>
                <w:shd w:val="clear" w:color="auto" w:fill="FEFEFE"/>
              </w:rPr>
              <w:t xml:space="preserve">Ще се финансират проектни предложения получили  минимален брой </w:t>
            </w:r>
            <w:r>
              <w:rPr>
                <w:rFonts w:ascii="Times New Roman" w:eastAsia="Times New Roman" w:hAnsi="Times New Roman" w:cs="Times New Roman"/>
                <w:b/>
                <w:sz w:val="24"/>
                <w:szCs w:val="24"/>
                <w:shd w:val="clear" w:color="auto" w:fill="FEFEFE"/>
              </w:rPr>
              <w:t>5</w:t>
            </w:r>
            <w:r w:rsidRPr="004A24F1">
              <w:rPr>
                <w:rFonts w:ascii="Times New Roman" w:eastAsia="Times New Roman" w:hAnsi="Times New Roman" w:cs="Times New Roman"/>
                <w:b/>
                <w:sz w:val="24"/>
                <w:szCs w:val="24"/>
                <w:shd w:val="clear" w:color="auto" w:fill="FEFEFE"/>
              </w:rPr>
              <w:t xml:space="preserve">   и повече точки от крайната оценка до изчерпване на наличния бюджет.</w:t>
            </w:r>
          </w:p>
          <w:p w:rsidR="004E655E" w:rsidRPr="004A24F1" w:rsidRDefault="004E655E" w:rsidP="001163C1">
            <w:pPr>
              <w:jc w:val="both"/>
              <w:rPr>
                <w:rFonts w:ascii="Times New Roman" w:eastAsia="Times New Roman" w:hAnsi="Times New Roman" w:cs="Times New Roman"/>
                <w:b/>
                <w:sz w:val="24"/>
                <w:szCs w:val="24"/>
                <w:shd w:val="clear" w:color="auto" w:fill="FEFEFE"/>
              </w:rPr>
            </w:pPr>
            <w:r w:rsidRPr="004A24F1">
              <w:rPr>
                <w:rFonts w:ascii="Times New Roman" w:eastAsia="Times New Roman" w:hAnsi="Times New Roman" w:cs="Times New Roman"/>
                <w:b/>
                <w:sz w:val="24"/>
                <w:szCs w:val="24"/>
                <w:shd w:val="clear" w:color="auto" w:fill="FEFEFE"/>
              </w:rPr>
              <w:t xml:space="preserve"> В случай, че две или повече проектни предложения имат еднакъв брой точки, получени от крайната оценка, за които няма достатъчно наличен бюджет, те ще бъдат отхвърлени.</w:t>
            </w:r>
          </w:p>
          <w:p w:rsidR="004E655E" w:rsidRPr="002B60ED" w:rsidRDefault="004E655E" w:rsidP="001163C1"/>
        </w:tc>
      </w:tr>
    </w:tbl>
    <w:p w:rsidR="004E655E" w:rsidRDefault="004E655E" w:rsidP="004E655E">
      <w:pPr>
        <w:spacing w:after="0" w:line="240" w:lineRule="auto"/>
        <w:jc w:val="both"/>
        <w:rPr>
          <w:rFonts w:ascii="Times New Roman" w:eastAsia="Times New Roman" w:hAnsi="Times New Roman" w:cs="Times New Roman"/>
          <w:sz w:val="24"/>
          <w:szCs w:val="24"/>
          <w:shd w:val="clear" w:color="auto" w:fill="FEFEFE"/>
        </w:rPr>
      </w:pPr>
      <w:bookmarkStart w:id="30" w:name="_Toc505614666"/>
    </w:p>
    <w:p w:rsidR="004E655E" w:rsidRPr="00A46063" w:rsidRDefault="004E655E" w:rsidP="004E655E">
      <w:pPr>
        <w:pStyle w:val="1"/>
        <w:jc w:val="both"/>
        <w:rPr>
          <w:szCs w:val="24"/>
        </w:rPr>
      </w:pPr>
      <w:r w:rsidRPr="00A46063">
        <w:rPr>
          <w:szCs w:val="24"/>
        </w:rPr>
        <w:t>23. Начин на подаване на проектните предложения/концепциите за проектни предложения:</w:t>
      </w:r>
      <w:bookmarkEnd w:id="30"/>
    </w:p>
    <w:tbl>
      <w:tblPr>
        <w:tblStyle w:val="a9"/>
        <w:tblW w:w="0" w:type="auto"/>
        <w:tblLook w:val="04A0" w:firstRow="1" w:lastRow="0" w:firstColumn="1" w:lastColumn="0" w:noHBand="0" w:noVBand="1"/>
      </w:tblPr>
      <w:tblGrid>
        <w:gridCol w:w="9212"/>
      </w:tblGrid>
      <w:tr w:rsidR="004E655E" w:rsidTr="001163C1">
        <w:tc>
          <w:tcPr>
            <w:tcW w:w="9212" w:type="dxa"/>
          </w:tcPr>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 Условията за кандидатстване </w:t>
            </w:r>
            <w:r w:rsidRPr="00AE35D9" w:rsidDel="00932679">
              <w:rPr>
                <w:rFonts w:ascii="Times New Roman" w:eastAsia="Times New Roman" w:hAnsi="Times New Roman" w:cs="Times New Roman"/>
                <w:sz w:val="24"/>
                <w:szCs w:val="24"/>
                <w:shd w:val="clear" w:color="auto" w:fill="FEFEFE"/>
              </w:rPr>
              <w:t>мо</w:t>
            </w:r>
            <w:r w:rsidRPr="00AE35D9">
              <w:rPr>
                <w:rFonts w:ascii="Times New Roman" w:eastAsia="Times New Roman" w:hAnsi="Times New Roman" w:cs="Times New Roman"/>
                <w:sz w:val="24"/>
                <w:szCs w:val="24"/>
                <w:shd w:val="clear" w:color="auto" w:fill="FEFEFE"/>
              </w:rPr>
              <w:t>гат</w:t>
            </w:r>
            <w:r w:rsidRPr="00AE35D9" w:rsidDel="00932679">
              <w:rPr>
                <w:rFonts w:ascii="Times New Roman" w:eastAsia="Times New Roman" w:hAnsi="Times New Roman" w:cs="Times New Roman"/>
                <w:sz w:val="24"/>
                <w:szCs w:val="24"/>
                <w:shd w:val="clear" w:color="auto" w:fill="FEFEFE"/>
              </w:rPr>
              <w:t xml:space="preserve"> да бъд</w:t>
            </w:r>
            <w:r w:rsidRPr="00AE35D9">
              <w:rPr>
                <w:rFonts w:ascii="Times New Roman" w:eastAsia="Times New Roman" w:hAnsi="Times New Roman" w:cs="Times New Roman"/>
                <w:sz w:val="24"/>
                <w:szCs w:val="24"/>
                <w:shd w:val="clear" w:color="auto" w:fill="FEFEFE"/>
              </w:rPr>
              <w:t>ат</w:t>
            </w:r>
            <w:r w:rsidRPr="00AE35D9" w:rsidDel="00932679">
              <w:rPr>
                <w:rFonts w:ascii="Times New Roman" w:eastAsia="Times New Roman" w:hAnsi="Times New Roman" w:cs="Times New Roman"/>
                <w:sz w:val="24"/>
                <w:szCs w:val="24"/>
                <w:shd w:val="clear" w:color="auto" w:fill="FEFEFE"/>
              </w:rPr>
              <w:t xml:space="preserve"> изменян</w:t>
            </w:r>
            <w:r w:rsidRPr="00AE35D9">
              <w:rPr>
                <w:rFonts w:ascii="Times New Roman" w:eastAsia="Times New Roman" w:hAnsi="Times New Roman" w:cs="Times New Roman"/>
                <w:sz w:val="24"/>
                <w:szCs w:val="24"/>
                <w:shd w:val="clear" w:color="auto" w:fill="FEFEFE"/>
              </w:rPr>
              <w:t>и</w:t>
            </w:r>
            <w:r w:rsidRPr="00AE35D9"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p w:rsidR="004E655E" w:rsidRPr="00997CD7" w:rsidRDefault="004E655E" w:rsidP="001163C1">
            <w:pPr>
              <w:jc w:val="both"/>
              <w:rPr>
                <w:rFonts w:ascii="Times New Roman" w:eastAsia="Times New Roman" w:hAnsi="Times New Roman" w:cs="Times New Roman"/>
                <w:color w:val="FF0000"/>
                <w:sz w:val="24"/>
                <w:szCs w:val="24"/>
                <w:shd w:val="clear" w:color="auto" w:fill="FEFEFE"/>
              </w:rPr>
            </w:pP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w:t>
            </w:r>
            <w:r w:rsidRPr="00161FDB">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Pr="00AE35D9">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w:t>
            </w:r>
            <w:r w:rsidRPr="00AE35D9">
              <w:rPr>
                <w:rFonts w:ascii="Times New Roman" w:eastAsia="Times New Roman" w:hAnsi="Times New Roman" w:cs="Times New Roman"/>
                <w:sz w:val="24"/>
                <w:szCs w:val="24"/>
                <w:shd w:val="clear" w:color="auto" w:fill="FEFEFE"/>
              </w:rPr>
              <w:lastRenderedPageBreak/>
              <w:t xml:space="preserve">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Pr="00AE35D9">
              <w:rPr>
                <w:rFonts w:ascii="Times New Roman" w:eastAsia="Times New Roman" w:hAnsi="Times New Roman" w:cs="Times New Roman"/>
                <w:sz w:val="24"/>
                <w:szCs w:val="24"/>
                <w:shd w:val="clear" w:color="auto" w:fill="FEFEFE"/>
              </w:rPr>
              <w:t>. Документите се прилагат към формуляра за кандидатстване във формат „рdf“, „xls“ или друг формат, указан в Раздел 24</w:t>
            </w:r>
            <w:r w:rsidRPr="00AE35D9">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w:t>
            </w:r>
            <w:r w:rsidR="00A46063">
              <w:rPr>
                <w:rFonts w:ascii="Times New Roman" w:eastAsia="Times New Roman" w:hAnsi="Times New Roman" w:cs="Times New Roman"/>
                <w:sz w:val="24"/>
                <w:szCs w:val="24"/>
                <w:shd w:val="clear" w:color="auto" w:fill="FEFEFE"/>
              </w:rPr>
              <w:t xml:space="preserve"> </w:t>
            </w:r>
            <w:r w:rsidRPr="00AE35D9">
              <w:rPr>
                <w:rFonts w:ascii="Times New Roman" w:eastAsia="Times New Roman" w:hAnsi="Times New Roman" w:cs="Times New Roman"/>
                <w:sz w:val="24"/>
                <w:szCs w:val="24"/>
                <w:shd w:val="clear" w:color="auto" w:fill="FEFEFE"/>
              </w:rPr>
              <w:t>, подписан от кандидата. Оригиналите на документите се съхраняват от кандидата/бенефициента и се представят при поискване.</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ascii="Times New Roman" w:eastAsia="Times New Roman" w:hAnsi="Times New Roman" w:cs="Times New Roman"/>
                <w:sz w:val="24"/>
                <w:szCs w:val="24"/>
                <w:shd w:val="clear" w:color="auto" w:fill="FEFEFE"/>
              </w:rPr>
              <w:t xml:space="preserve">МИГ </w:t>
            </w:r>
            <w:r w:rsidRPr="00AE35D9">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rFonts w:ascii="Times New Roman" w:eastAsia="Times New Roman" w:hAnsi="Times New Roman" w:cs="Times New Roman"/>
                <w:sz w:val="24"/>
                <w:szCs w:val="24"/>
              </w:rPr>
              <w:t xml:space="preserve"> с </w:t>
            </w:r>
            <w:r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Pr="00AE35D9">
              <w:rPr>
                <w:rFonts w:ascii="Times New Roman" w:eastAsia="Times New Roman" w:hAnsi="Times New Roman" w:cs="Times New Roman"/>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Pr="00AE35D9">
              <w:rPr>
                <w:rFonts w:ascii="Times New Roman" w:eastAsia="Times New Roman" w:hAnsi="Times New Roman" w:cs="Times New Roman"/>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4E655E" w:rsidRPr="00C92523"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Pr="00AE35D9">
              <w:rPr>
                <w:rFonts w:ascii="Times New Roman" w:eastAsia="Times New Roman" w:hAnsi="Times New Roman" w:cs="Times New Roman"/>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0</w:t>
            </w:r>
            <w:r w:rsidRPr="00AE35D9">
              <w:rPr>
                <w:rFonts w:ascii="Times New Roman" w:eastAsia="Times New Roman" w:hAnsi="Times New Roman" w:cs="Times New Roman"/>
                <w:sz w:val="24"/>
                <w:szCs w:val="24"/>
                <w:shd w:val="clear" w:color="auto" w:fill="FEFEFE"/>
              </w:rPr>
              <w:t xml:space="preserve">.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w:t>
            </w:r>
            <w:r w:rsidRPr="00AE35D9">
              <w:rPr>
                <w:rFonts w:ascii="Times New Roman" w:eastAsia="Times New Roman" w:hAnsi="Times New Roman" w:cs="Times New Roman"/>
                <w:sz w:val="24"/>
                <w:szCs w:val="24"/>
                <w:shd w:val="clear" w:color="auto" w:fill="FEFEFE"/>
              </w:rPr>
              <w:lastRenderedPageBreak/>
              <w:t>служебен път.</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Pr="00AE35D9">
              <w:rPr>
                <w:rFonts w:ascii="Times New Roman" w:eastAsia="Times New Roman" w:hAnsi="Times New Roman" w:cs="Times New Roman"/>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4E655E" w:rsidRPr="00AE35D9" w:rsidRDefault="004E655E"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12</w:t>
            </w:r>
            <w:r w:rsidRPr="00AE35D9">
              <w:rPr>
                <w:rFonts w:ascii="Times New Roman" w:eastAsia="Times New Roman" w:hAnsi="Times New Roman" w:cs="Times New Roman"/>
                <w:sz w:val="24"/>
                <w:szCs w:val="24"/>
                <w:shd w:val="clear" w:color="auto" w:fill="FEFEFE"/>
              </w:rPr>
              <w:t>.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AE35D9">
              <w:rPr>
                <w:rFonts w:ascii="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p>
          <w:p w:rsidR="004E655E" w:rsidRPr="00AE35D9" w:rsidRDefault="004E655E" w:rsidP="001163C1">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Допълнителна </w:t>
            </w:r>
            <w:r w:rsidRPr="00AE35D9">
              <w:rPr>
                <w:rFonts w:ascii="Times New Roman" w:eastAsia="Times New Roman" w:hAnsi="Times New Roman" w:cs="Times New Roman"/>
                <w:sz w:val="24"/>
                <w:szCs w:val="24"/>
              </w:rPr>
              <w:t>пояснителна информация или документ от кандидатите</w:t>
            </w:r>
            <w:r w:rsidRPr="00AE35D9" w:rsidDel="007C2F71">
              <w:rPr>
                <w:rFonts w:ascii="Times New Roman" w:eastAsia="Times New Roman" w:hAnsi="Times New Roman" w:cs="Times New Roman"/>
                <w:sz w:val="24"/>
                <w:szCs w:val="24"/>
              </w:rPr>
              <w:t xml:space="preserve"> </w:t>
            </w:r>
            <w:r w:rsidRPr="00AE35D9">
              <w:rPr>
                <w:rFonts w:ascii="Times New Roman" w:eastAsia="Times New Roman" w:hAnsi="Times New Roman" w:cs="Times New Roman"/>
                <w:sz w:val="24"/>
                <w:szCs w:val="24"/>
              </w:rPr>
              <w:t>относно декларираните обстоятелства и представените документи</w:t>
            </w:r>
            <w:r w:rsidRPr="00AE35D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4E655E" w:rsidRPr="00690BE6" w:rsidRDefault="001163C1" w:rsidP="001163C1">
            <w:pPr>
              <w:jc w:val="both"/>
              <w:rPr>
                <w:rFonts w:ascii="Times New Roman" w:eastAsia="Times New Roman" w:hAnsi="Times New Roman" w:cs="Times New Roman"/>
                <w:b/>
                <w:color w:val="FF0000"/>
                <w:sz w:val="24"/>
                <w:szCs w:val="24"/>
                <w:shd w:val="clear" w:color="auto" w:fill="FEFEFE"/>
                <w:lang w:val="ru-RU"/>
              </w:rPr>
            </w:pPr>
            <w:r>
              <w:rPr>
                <w:rFonts w:ascii="Times New Roman" w:eastAsia="Times New Roman" w:hAnsi="Times New Roman" w:cs="Times New Roman"/>
                <w:b/>
                <w:sz w:val="24"/>
                <w:szCs w:val="24"/>
                <w:shd w:val="clear" w:color="auto" w:fill="FEFEFE"/>
              </w:rPr>
              <w:t>14</w:t>
            </w:r>
            <w:r w:rsidR="004E655E">
              <w:rPr>
                <w:rFonts w:ascii="Times New Roman" w:eastAsia="Times New Roman" w:hAnsi="Times New Roman" w:cs="Times New Roman"/>
                <w:b/>
                <w:sz w:val="24"/>
                <w:szCs w:val="24"/>
                <w:shd w:val="clear" w:color="auto" w:fill="FEFEFE"/>
              </w:rPr>
              <w:t>.</w:t>
            </w:r>
            <w:r w:rsidR="004E655E" w:rsidRPr="00AE35D9">
              <w:rPr>
                <w:rFonts w:ascii="Times New Roman" w:eastAsia="Times New Roman" w:hAnsi="Times New Roman" w:cs="Times New Roman"/>
                <w:b/>
                <w:sz w:val="24"/>
                <w:szCs w:val="24"/>
                <w:shd w:val="clear" w:color="auto" w:fill="FEFEFE"/>
              </w:rPr>
              <w:t xml:space="preserve"> </w:t>
            </w:r>
            <w:r w:rsidR="004E655E" w:rsidRPr="002F1827">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730F4A">
              <w:rPr>
                <w:rFonts w:ascii="Times New Roman" w:eastAsia="Times New Roman" w:hAnsi="Times New Roman" w:cs="Times New Roman"/>
                <w:sz w:val="24"/>
                <w:szCs w:val="24"/>
                <w:shd w:val="clear" w:color="auto" w:fill="FEFEFE"/>
                <w:lang w:val="ru-RU"/>
              </w:rPr>
              <w:t xml:space="preserve"> </w:t>
            </w:r>
            <w:r w:rsidR="004E655E" w:rsidRPr="002F1827">
              <w:rPr>
                <w:rFonts w:ascii="Times New Roman" w:eastAsia="Times New Roman" w:hAnsi="Times New Roman" w:cs="Times New Roman"/>
                <w:b/>
                <w:sz w:val="24"/>
                <w:szCs w:val="24"/>
                <w:shd w:val="clear" w:color="auto" w:fill="FEFEFE"/>
                <w:lang w:val="ru-RU"/>
              </w:rPr>
              <w:t xml:space="preserve"> </w:t>
            </w:r>
          </w:p>
          <w:p w:rsidR="004E655E" w:rsidRPr="00E92614" w:rsidRDefault="001163C1" w:rsidP="001163C1">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lang w:val="ru-RU"/>
              </w:rPr>
              <w:t>15</w:t>
            </w:r>
            <w:r w:rsidR="004E655E" w:rsidRPr="009356BE">
              <w:rPr>
                <w:rFonts w:ascii="Times New Roman" w:eastAsia="Times New Roman" w:hAnsi="Times New Roman" w:cs="Times New Roman"/>
                <w:b/>
                <w:sz w:val="24"/>
                <w:szCs w:val="24"/>
                <w:shd w:val="clear" w:color="auto" w:fill="FEFEFE"/>
                <w:lang w:val="ru-RU"/>
              </w:rPr>
              <w:t>.</w:t>
            </w:r>
            <w:r w:rsidR="004E655E" w:rsidRPr="00CC7835">
              <w:rPr>
                <w:rFonts w:ascii="Times New Roman" w:eastAsia="Times New Roman" w:hAnsi="Times New Roman" w:cs="Times New Roman"/>
                <w:b/>
                <w:sz w:val="24"/>
                <w:szCs w:val="24"/>
                <w:shd w:val="clear" w:color="auto" w:fill="FEFEFE"/>
                <w:lang w:val="ru-RU"/>
              </w:rPr>
              <w:t xml:space="preserve"> </w:t>
            </w:r>
            <w:r w:rsidR="004E655E" w:rsidRPr="00E92614">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1163C1"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a) Поясненията по подадени искания се утвърждават от Председателя на УС на МИГ Чирпан.</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(6) Разясненията са :</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 по отношение на условията на кандидатстване;</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задължителни за всички кандидати;</w:t>
            </w:r>
          </w:p>
          <w:p w:rsidR="004E655E" w:rsidRPr="00E92614" w:rsidRDefault="004E655E" w:rsidP="001163C1">
            <w:pPr>
              <w:jc w:val="both"/>
              <w:rPr>
                <w:rFonts w:ascii="Times New Roman" w:eastAsia="Times New Roman" w:hAnsi="Times New Roman" w:cs="Times New Roman"/>
                <w:sz w:val="24"/>
                <w:szCs w:val="24"/>
                <w:shd w:val="clear" w:color="auto" w:fill="FEFEFE"/>
              </w:rPr>
            </w:pPr>
            <w:r w:rsidRPr="00E92614">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rsidR="004E655E" w:rsidRPr="00014046" w:rsidRDefault="004E655E" w:rsidP="001163C1">
            <w:pPr>
              <w:jc w:val="both"/>
              <w:rPr>
                <w:lang w:val="ru-RU"/>
              </w:rPr>
            </w:pPr>
          </w:p>
        </w:tc>
      </w:tr>
    </w:tbl>
    <w:p w:rsidR="004E655E" w:rsidRPr="005B763B" w:rsidRDefault="004E655E" w:rsidP="004E655E">
      <w:pPr>
        <w:pStyle w:val="1"/>
        <w:rPr>
          <w:rFonts w:cs="Times New Roman"/>
          <w:sz w:val="22"/>
          <w:szCs w:val="22"/>
        </w:rPr>
      </w:pPr>
      <w:bookmarkStart w:id="31" w:name="_Toc496871837"/>
      <w:bookmarkStart w:id="32" w:name="_Toc505614667"/>
      <w:r w:rsidRPr="005B763B">
        <w:rPr>
          <w:rFonts w:cs="Times New Roman"/>
          <w:sz w:val="22"/>
          <w:szCs w:val="22"/>
        </w:rPr>
        <w:lastRenderedPageBreak/>
        <w:t>24. Списък на документите, които се подават на етап кандидатстване:</w:t>
      </w:r>
      <w:bookmarkEnd w:id="31"/>
      <w:bookmarkEnd w:id="32"/>
    </w:p>
    <w:p w:rsidR="004E655E" w:rsidRPr="0082294F" w:rsidRDefault="004E655E" w:rsidP="004E655E">
      <w:pPr>
        <w:rPr>
          <w:rFonts w:ascii="Times New Roman" w:hAnsi="Times New Roman" w:cs="Times New Roman"/>
          <w:b/>
          <w:color w:val="FF0000"/>
        </w:rPr>
      </w:pPr>
      <w:r w:rsidRPr="005B763B">
        <w:rPr>
          <w:rFonts w:ascii="Times New Roman" w:hAnsi="Times New Roman" w:cs="Times New Roman"/>
          <w:b/>
        </w:rPr>
        <w:t>24.1. Списък с общи документи</w:t>
      </w:r>
      <w:r w:rsidRPr="0082294F">
        <w:rPr>
          <w:rFonts w:ascii="Times New Roman" w:hAnsi="Times New Roman" w:cs="Times New Roman"/>
          <w:b/>
          <w:color w:val="FF0000"/>
        </w:rPr>
        <w:t>:</w:t>
      </w:r>
      <w:r>
        <w:rPr>
          <w:rFonts w:ascii="Times New Roman" w:hAnsi="Times New Roman" w:cs="Times New Roman"/>
          <w:b/>
          <w:color w:val="FF0000"/>
        </w:rPr>
        <w:t xml:space="preserve"> </w:t>
      </w:r>
    </w:p>
    <w:tbl>
      <w:tblPr>
        <w:tblStyle w:val="a9"/>
        <w:tblW w:w="0" w:type="auto"/>
        <w:tblLook w:val="04A0" w:firstRow="1" w:lastRow="0" w:firstColumn="1" w:lastColumn="0" w:noHBand="0" w:noVBand="1"/>
      </w:tblPr>
      <w:tblGrid>
        <w:gridCol w:w="9212"/>
      </w:tblGrid>
      <w:tr w:rsidR="004E655E" w:rsidRPr="005C5C3F" w:rsidTr="001163C1">
        <w:tc>
          <w:tcPr>
            <w:tcW w:w="9212" w:type="dxa"/>
          </w:tcPr>
          <w:p w:rsidR="004E655E" w:rsidRPr="005C5C3F" w:rsidRDefault="004E655E" w:rsidP="001163C1">
            <w:pPr>
              <w:pStyle w:val="af0"/>
              <w:numPr>
                <w:ilvl w:val="0"/>
                <w:numId w:val="25"/>
              </w:numPr>
              <w:spacing w:after="200" w:line="276" w:lineRule="auto"/>
              <w:jc w:val="both"/>
              <w:rPr>
                <w:lang w:val="ru-RU"/>
              </w:rPr>
            </w:pPr>
            <w:r w:rsidRPr="005C5C3F">
              <w:rPr>
                <w:shd w:val="clear" w:color="auto" w:fill="FEFEFE"/>
              </w:rPr>
              <w:t xml:space="preserve">Основната информация за проектното предложение, </w:t>
            </w:r>
            <w:r w:rsidRPr="005C5C3F">
              <w:t>във формат „</w:t>
            </w:r>
            <w:r w:rsidRPr="005C5C3F">
              <w:rPr>
                <w:lang w:val="en-US"/>
              </w:rPr>
              <w:t>pdf</w:t>
            </w:r>
            <w:r w:rsidRPr="005C5C3F">
              <w:rPr>
                <w:lang w:val="ru-RU"/>
              </w:rPr>
              <w:t>”</w:t>
            </w:r>
            <w:r w:rsidRPr="005C5C3F">
              <w:t>,</w:t>
            </w:r>
            <w:r w:rsidRPr="005C5C3F">
              <w:rPr>
                <w:lang w:val="ru-RU"/>
              </w:rPr>
              <w:t xml:space="preserve"> </w:t>
            </w:r>
            <w:r w:rsidRPr="005C5C3F">
              <w:t>подписан и сканиран от кандидата. (</w:t>
            </w:r>
            <w:r w:rsidRPr="005C5C3F">
              <w:rPr>
                <w:i/>
              </w:rPr>
              <w:t xml:space="preserve">Приложение № </w:t>
            </w:r>
            <w:r w:rsidRPr="005C5C3F">
              <w:rPr>
                <w:i/>
                <w:lang w:val="ru-RU"/>
              </w:rPr>
              <w:t>1</w:t>
            </w:r>
            <w:r w:rsidR="00536EDE">
              <w:rPr>
                <w:i/>
                <w:lang w:val="ru-RU"/>
              </w:rPr>
              <w:t xml:space="preserve"> от 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lang w:val="ru-RU"/>
              </w:rPr>
            </w:pPr>
            <w:r w:rsidRPr="005C5C3F">
              <w:t>Таблица за допустими инвестиции във формат „</w:t>
            </w:r>
            <w:r w:rsidRPr="005C5C3F">
              <w:rPr>
                <w:lang w:val="en-US"/>
              </w:rPr>
              <w:t>pdf</w:t>
            </w:r>
            <w:r w:rsidRPr="005C5C3F">
              <w:rPr>
                <w:lang w:val="ru-RU"/>
              </w:rPr>
              <w:t>”</w:t>
            </w:r>
            <w:r w:rsidRPr="005C5C3F">
              <w:t>,</w:t>
            </w:r>
            <w:r w:rsidRPr="005C5C3F">
              <w:rPr>
                <w:lang w:val="ru-RU"/>
              </w:rPr>
              <w:t xml:space="preserve"> </w:t>
            </w:r>
            <w:r w:rsidRPr="005C5C3F">
              <w:t>подписан и сканиран от кандидата, както и във формат „</w:t>
            </w:r>
            <w:r w:rsidRPr="005C5C3F">
              <w:rPr>
                <w:lang w:val="en-US"/>
              </w:rPr>
              <w:t>xls</w:t>
            </w:r>
            <w:r w:rsidRPr="005C5C3F">
              <w:t>“ или „xls</w:t>
            </w:r>
            <w:r w:rsidRPr="005C5C3F">
              <w:rPr>
                <w:lang w:val="en-US"/>
              </w:rPr>
              <w:t>x</w:t>
            </w:r>
            <w:r w:rsidRPr="005C5C3F">
              <w:t xml:space="preserve">“, по образец на ДФЗ </w:t>
            </w:r>
            <w:r w:rsidRPr="005C5C3F">
              <w:rPr>
                <w:i/>
              </w:rPr>
              <w:t xml:space="preserve">(Приложение № </w:t>
            </w:r>
            <w:r w:rsidR="00536EDE">
              <w:rPr>
                <w:i/>
                <w:lang w:val="ru-RU"/>
              </w:rPr>
              <w:t xml:space="preserve">12 от Документи за попълване към Условия за кандидатстване </w:t>
            </w:r>
            <w:r w:rsidRPr="005C5C3F">
              <w:rPr>
                <w:i/>
              </w:rPr>
              <w:t>).</w:t>
            </w:r>
          </w:p>
          <w:p w:rsidR="004E655E" w:rsidRPr="005C5C3F" w:rsidRDefault="004E655E" w:rsidP="001163C1">
            <w:pPr>
              <w:pStyle w:val="af0"/>
              <w:numPr>
                <w:ilvl w:val="0"/>
                <w:numId w:val="25"/>
              </w:numPr>
              <w:spacing w:before="100" w:beforeAutospacing="1" w:after="100" w:afterAutospacing="1" w:line="276" w:lineRule="auto"/>
              <w:jc w:val="both"/>
            </w:pPr>
            <w:r w:rsidRPr="005C5C3F">
              <w:t xml:space="preserve">Нотариално заверено изрично пълномощно, в случай че документите не се подават лично от кандидата, а за кандидат - община - заповед на кмета. Представя се във формат „pdf“ или „jpg“. </w:t>
            </w:r>
          </w:p>
          <w:p w:rsidR="004E655E" w:rsidRPr="005C5C3F" w:rsidRDefault="004E655E" w:rsidP="001163C1">
            <w:pPr>
              <w:pStyle w:val="af0"/>
              <w:numPr>
                <w:ilvl w:val="0"/>
                <w:numId w:val="25"/>
              </w:numPr>
              <w:spacing w:before="100" w:beforeAutospacing="1" w:after="100" w:afterAutospacing="1" w:line="276" w:lineRule="auto"/>
              <w:jc w:val="both"/>
            </w:pPr>
            <w:r w:rsidRPr="005C5C3F">
              <w:t xml:space="preserve">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w:t>
            </w:r>
            <w:r w:rsidRPr="00FD1C36">
              <w:rPr>
                <w:lang w:val="ru-RU"/>
              </w:rPr>
              <w:t>(</w:t>
            </w:r>
            <w:r w:rsidRPr="005C5C3F">
              <w:t>когато е приложимо</w:t>
            </w:r>
            <w:r w:rsidRPr="00FD1C36">
              <w:rPr>
                <w:lang w:val="ru-RU"/>
              </w:rPr>
              <w:t>)</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Документ, издаден от обслужващата банка за банковата сметка на кандидата. Представя се във формат „</w:t>
            </w:r>
            <w:r w:rsidRPr="005C5C3F">
              <w:rPr>
                <w:lang w:val="en-US"/>
              </w:rPr>
              <w:t>pdf</w:t>
            </w:r>
            <w:r w:rsidRPr="005C5C3F">
              <w:rPr>
                <w:lang w:val="ru-RU"/>
              </w:rPr>
              <w:t>”</w:t>
            </w:r>
            <w:r w:rsidRPr="005C5C3F">
              <w:t>.</w:t>
            </w:r>
          </w:p>
          <w:p w:rsidR="004E655E" w:rsidRPr="005C5C3F" w:rsidRDefault="004E655E" w:rsidP="001163C1">
            <w:pPr>
              <w:pStyle w:val="af0"/>
              <w:numPr>
                <w:ilvl w:val="0"/>
                <w:numId w:val="25"/>
              </w:numPr>
              <w:spacing w:after="200" w:line="276" w:lineRule="auto"/>
              <w:jc w:val="both"/>
              <w:rPr>
                <w:rFonts w:eastAsiaTheme="minorHAnsi"/>
                <w:lang w:val="ru-RU" w:eastAsia="en-US"/>
              </w:rPr>
            </w:pPr>
            <w:r w:rsidRPr="005C5C3F">
              <w:rPr>
                <w:shd w:val="clear" w:color="auto" w:fill="FEFEFE"/>
                <w:lang w:val="ru-RU"/>
              </w:rPr>
              <w:t>С</w:t>
            </w:r>
            <w:r w:rsidRPr="005C5C3F">
              <w:rPr>
                <w:shd w:val="clear" w:color="auto" w:fill="FEFEFE"/>
              </w:rPr>
              <w:t>видетелство за съдимост от представляващия/те кандидата; издадено не по-късно от 1 месец преди представянето му;</w:t>
            </w:r>
            <w:r w:rsidRPr="005C5C3F">
              <w:t xml:space="preserve"> Представя се във формат „</w:t>
            </w:r>
            <w:r w:rsidRPr="005C5C3F">
              <w:rPr>
                <w:lang w:val="en-US"/>
              </w:rPr>
              <w:t>pdf</w:t>
            </w:r>
            <w:r w:rsidRPr="005C5C3F">
              <w:rPr>
                <w:lang w:val="ru-RU"/>
              </w:rPr>
              <w:t>”</w:t>
            </w:r>
            <w:r w:rsidRPr="005C5C3F">
              <w:t>.</w:t>
            </w:r>
          </w:p>
          <w:p w:rsidR="004E655E" w:rsidRPr="005C5C3F" w:rsidRDefault="004E655E" w:rsidP="001163C1">
            <w:pPr>
              <w:pStyle w:val="af0"/>
              <w:numPr>
                <w:ilvl w:val="0"/>
                <w:numId w:val="25"/>
              </w:numPr>
              <w:spacing w:after="200" w:line="276" w:lineRule="auto"/>
              <w:jc w:val="both"/>
              <w:rPr>
                <w:lang w:val="ru-RU"/>
              </w:rPr>
            </w:pPr>
            <w:r w:rsidRPr="005C5C3F">
              <w:t>Декларация за нередности с подпис/и, печат и сканирана във формат „</w:t>
            </w:r>
            <w:r w:rsidRPr="005C5C3F">
              <w:rPr>
                <w:lang w:val="en-US"/>
              </w:rPr>
              <w:t>pdf</w:t>
            </w:r>
            <w:r w:rsidRPr="005C5C3F">
              <w:t>“ или „</w:t>
            </w:r>
            <w:r w:rsidRPr="005C5C3F">
              <w:rPr>
                <w:lang w:val="en-US"/>
              </w:rPr>
              <w:t>jpg</w:t>
            </w:r>
            <w:r w:rsidRPr="005C5C3F">
              <w:t>“.</w:t>
            </w:r>
            <w:r w:rsidRPr="005C5C3F">
              <w:rPr>
                <w:lang w:val="ru-RU"/>
              </w:rPr>
              <w:t xml:space="preserve"> </w:t>
            </w:r>
            <w:r w:rsidRPr="005C5C3F">
              <w:t>(</w:t>
            </w:r>
            <w:r w:rsidRPr="005C5C3F">
              <w:rPr>
                <w:i/>
              </w:rPr>
              <w:t xml:space="preserve">Приложение № </w:t>
            </w:r>
            <w:r w:rsidRPr="005C5C3F">
              <w:rPr>
                <w:i/>
                <w:lang w:val="ru-RU"/>
              </w:rPr>
              <w:t>3</w:t>
            </w:r>
            <w:r w:rsidR="00536EDE">
              <w:rPr>
                <w:i/>
                <w:lang w:val="ru-RU"/>
              </w:rPr>
              <w:t xml:space="preserve"> от Документи за попълване към Условия за кандидатстване</w:t>
            </w:r>
            <w:r w:rsidRPr="005C5C3F">
              <w:t>).</w:t>
            </w:r>
          </w:p>
          <w:p w:rsidR="004E655E" w:rsidRPr="005C5C3F" w:rsidRDefault="004E655E" w:rsidP="001163C1">
            <w:pPr>
              <w:pStyle w:val="af0"/>
              <w:numPr>
                <w:ilvl w:val="0"/>
                <w:numId w:val="25"/>
              </w:numPr>
              <w:spacing w:after="200" w:line="276" w:lineRule="auto"/>
              <w:jc w:val="both"/>
              <w:rPr>
                <w:lang w:val="ru-RU"/>
              </w:rPr>
            </w:pPr>
            <w:r w:rsidRPr="005C5C3F">
              <w:t xml:space="preserve">Декларация съгласно </w:t>
            </w:r>
            <w:r w:rsidRPr="005C5C3F">
              <w:rPr>
                <w:i/>
              </w:rPr>
              <w:t>Приложение № 6 от наредба 22</w:t>
            </w:r>
            <w:r w:rsidRPr="005C5C3F">
              <w:t xml:space="preserve"> 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Pr="005C5C3F">
              <w:rPr>
                <w:i/>
              </w:rPr>
              <w:t xml:space="preserve"> </w:t>
            </w:r>
            <w:r w:rsidRPr="005C5C3F">
              <w:t>(</w:t>
            </w:r>
            <w:r w:rsidRPr="005C5C3F">
              <w:rPr>
                <w:i/>
              </w:rPr>
              <w:t xml:space="preserve">Приложение № </w:t>
            </w:r>
            <w:r w:rsidRPr="005C5C3F">
              <w:rPr>
                <w:i/>
                <w:lang w:val="ru-RU"/>
              </w:rPr>
              <w:t>6</w:t>
            </w:r>
            <w:r w:rsidR="00536EDE">
              <w:rPr>
                <w:i/>
                <w:lang w:val="ru-RU"/>
              </w:rPr>
              <w:t xml:space="preserve"> от 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lang w:val="ru-RU"/>
              </w:rPr>
            </w:pPr>
            <w:r w:rsidRPr="005C5C3F">
              <w:t xml:space="preserve">Декларация по </w:t>
            </w:r>
            <w:hyperlink r:id="rId30" w:history="1">
              <w:r w:rsidRPr="005C5C3F">
                <w:t>чл. 19</w:t>
              </w:r>
            </w:hyperlink>
            <w:r w:rsidRPr="005C5C3F">
              <w:t xml:space="preserve"> и 20 от Закона за защита на личните данни с подпис/и, печат и сканирана във формат „</w:t>
            </w:r>
            <w:r w:rsidRPr="005C5C3F">
              <w:rPr>
                <w:lang w:val="en-US"/>
              </w:rPr>
              <w:t>pdf</w:t>
            </w:r>
            <w:r w:rsidRPr="005C5C3F">
              <w:t>“ или „</w:t>
            </w:r>
            <w:r w:rsidRPr="005C5C3F">
              <w:rPr>
                <w:lang w:val="en-US"/>
              </w:rPr>
              <w:t>jpg</w:t>
            </w:r>
            <w:r w:rsidRPr="005C5C3F">
              <w:t>“. (</w:t>
            </w:r>
            <w:r w:rsidRPr="005C5C3F">
              <w:rPr>
                <w:i/>
              </w:rPr>
              <w:t xml:space="preserve">Приложение № </w:t>
            </w:r>
            <w:r w:rsidRPr="005C5C3F">
              <w:rPr>
                <w:i/>
                <w:lang w:val="ru-RU"/>
              </w:rPr>
              <w:t>4</w:t>
            </w:r>
            <w:r w:rsidR="00536EDE">
              <w:rPr>
                <w:i/>
                <w:lang w:val="ru-RU"/>
              </w:rPr>
              <w:t xml:space="preserve"> от 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before="100" w:beforeAutospacing="1" w:after="100" w:afterAutospacing="1" w:line="276" w:lineRule="auto"/>
              <w:jc w:val="both"/>
              <w:rPr>
                <w:i/>
              </w:rPr>
            </w:pPr>
            <w:r w:rsidRPr="005C5C3F">
              <w:t>Декларация в оригинал по чл. 4а, ал. 1 Закона за малките и средните предприятия по образец, когато е приложимо; 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Pr="005C5C3F">
              <w:rPr>
                <w:i/>
              </w:rPr>
              <w:t xml:space="preserve">Декларацията се попълва само от кандидати НПО и читалища./ (Приложение № </w:t>
            </w:r>
            <w:r w:rsidR="00536EDE">
              <w:rPr>
                <w:i/>
                <w:lang w:val="ru-RU"/>
              </w:rPr>
              <w:t>14 от Документи за попълване към Условия за кандидатстване</w:t>
            </w:r>
            <w:r w:rsidRPr="005C5C3F">
              <w:rPr>
                <w:i/>
              </w:rPr>
              <w:t>)</w:t>
            </w:r>
          </w:p>
          <w:p w:rsidR="004E655E" w:rsidRPr="005C5C3F" w:rsidRDefault="00536EDE" w:rsidP="00536EDE">
            <w:pPr>
              <w:pStyle w:val="af0"/>
              <w:numPr>
                <w:ilvl w:val="0"/>
                <w:numId w:val="25"/>
              </w:numPr>
              <w:spacing w:after="200" w:line="276" w:lineRule="auto"/>
              <w:jc w:val="both"/>
              <w:rPr>
                <w:i/>
              </w:rPr>
            </w:pPr>
            <w:r w:rsidRPr="00536EDE">
              <w:t xml:space="preserve">Декларация за наличие или липса двойно финансиране </w:t>
            </w:r>
            <w:r w:rsidR="004E655E" w:rsidRPr="005C5C3F">
              <w:t xml:space="preserve">с подпис/и, печат и сканирана във формат „pdf“ или „jpg“.  </w:t>
            </w:r>
            <w:r>
              <w:rPr>
                <w:i/>
              </w:rPr>
              <w:t>(Приложение № 7</w:t>
            </w:r>
            <w:r>
              <w:t xml:space="preserve"> от </w:t>
            </w:r>
            <w:r>
              <w:rPr>
                <w:i/>
                <w:lang w:val="ru-RU"/>
              </w:rPr>
              <w:t>Документи за попълване към Условия за кандидатстване</w:t>
            </w:r>
            <w:r>
              <w:rPr>
                <w:i/>
              </w:rPr>
              <w:t xml:space="preserve"> </w:t>
            </w:r>
            <w:r w:rsidR="004E655E" w:rsidRPr="005C5C3F">
              <w:rPr>
                <w:i/>
              </w:rPr>
              <w:t>)</w:t>
            </w:r>
          </w:p>
          <w:p w:rsidR="004E655E" w:rsidRPr="005C5C3F" w:rsidRDefault="004E655E" w:rsidP="00536EDE">
            <w:pPr>
              <w:pStyle w:val="af0"/>
              <w:numPr>
                <w:ilvl w:val="0"/>
                <w:numId w:val="25"/>
              </w:numPr>
              <w:spacing w:after="200" w:line="276" w:lineRule="auto"/>
              <w:jc w:val="both"/>
              <w:rPr>
                <w:i/>
              </w:rPr>
            </w:pPr>
            <w:r w:rsidRPr="005C5C3F">
              <w:t xml:space="preserve">Декларации минимални и държавни помощи помощи с подпис/и, печат и сканирана във формат „pdf“ или „jpg“.  </w:t>
            </w:r>
            <w:r w:rsidR="00536EDE">
              <w:rPr>
                <w:i/>
              </w:rPr>
              <w:t>(Приложение № 15</w:t>
            </w:r>
            <w:r w:rsidR="00536EDE">
              <w:t xml:space="preserve"> от </w:t>
            </w:r>
            <w:r w:rsidR="00536EDE">
              <w:rPr>
                <w:i/>
                <w:lang w:val="ru-RU"/>
              </w:rPr>
              <w:t xml:space="preserve">Документи за </w:t>
            </w:r>
            <w:r w:rsidR="00536EDE">
              <w:rPr>
                <w:i/>
                <w:lang w:val="ru-RU"/>
              </w:rPr>
              <w:lastRenderedPageBreak/>
              <w:t>попълване към Условия за кандидатстване</w:t>
            </w:r>
            <w:r w:rsidR="00536EDE">
              <w:rPr>
                <w:i/>
              </w:rPr>
              <w:t xml:space="preserve"> </w:t>
            </w:r>
            <w:r w:rsidRPr="005C5C3F">
              <w:rPr>
                <w:i/>
              </w:rPr>
              <w:t>)</w:t>
            </w:r>
          </w:p>
          <w:p w:rsidR="004E655E" w:rsidRPr="005C5C3F" w:rsidRDefault="004E655E" w:rsidP="00536EDE">
            <w:pPr>
              <w:pStyle w:val="af0"/>
              <w:numPr>
                <w:ilvl w:val="0"/>
                <w:numId w:val="25"/>
              </w:numPr>
              <w:spacing w:after="200" w:line="276" w:lineRule="auto"/>
              <w:jc w:val="both"/>
              <w:rPr>
                <w:i/>
              </w:rPr>
            </w:pPr>
            <w:r w:rsidRPr="005C5C3F">
              <w:t>Декларация НСИ с подпис/и, печат и сканирана във формат „pdf“ или „jpg“.</w:t>
            </w:r>
            <w:r w:rsidRPr="005C5C3F">
              <w:rPr>
                <w:i/>
              </w:rPr>
              <w:t xml:space="preserve"> (Приложение № 2</w:t>
            </w:r>
            <w:r w:rsidR="00536EDE">
              <w:rPr>
                <w:i/>
              </w:rPr>
              <w:t xml:space="preserve"> от </w:t>
            </w:r>
            <w:r w:rsidR="00536EDE">
              <w:rPr>
                <w:i/>
                <w:lang w:val="ru-RU"/>
              </w:rPr>
              <w:t>Документи за попълване към Условия за кандидатстване</w:t>
            </w:r>
            <w:r w:rsidRPr="005C5C3F">
              <w:rPr>
                <w:i/>
              </w:rPr>
              <w:t>)</w:t>
            </w:r>
          </w:p>
          <w:p w:rsidR="004E655E" w:rsidRPr="005C5C3F" w:rsidRDefault="004E655E" w:rsidP="00536EDE">
            <w:pPr>
              <w:pStyle w:val="af0"/>
              <w:numPr>
                <w:ilvl w:val="0"/>
                <w:numId w:val="25"/>
              </w:numPr>
              <w:spacing w:after="200" w:line="276" w:lineRule="auto"/>
              <w:jc w:val="both"/>
              <w:rPr>
                <w:i/>
              </w:rPr>
            </w:pPr>
            <w:r w:rsidRPr="005C5C3F">
              <w:t xml:space="preserve">Декларация икономическо предназначение </w:t>
            </w:r>
            <w:r w:rsidRPr="005C5C3F">
              <w:rPr>
                <w:i/>
              </w:rPr>
              <w:t>/Декларацията се попълва само за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r w:rsidRPr="005C5C3F">
              <w:t xml:space="preserve"> /с подпис/и, печат и сканирана във формат „pdf“ или „jpg“.</w:t>
            </w:r>
            <w:r w:rsidRPr="005C5C3F">
              <w:rPr>
                <w:i/>
              </w:rPr>
              <w:t xml:space="preserve"> </w:t>
            </w:r>
            <w:r w:rsidRPr="005C5C3F">
              <w:rPr>
                <w:i/>
                <w:lang w:val="ru-RU"/>
              </w:rPr>
              <w:t xml:space="preserve"> </w:t>
            </w:r>
            <w:r w:rsidR="00536EDE">
              <w:rPr>
                <w:i/>
              </w:rPr>
              <w:t>(Приложение № 16</w:t>
            </w:r>
            <w:r w:rsidR="00536EDE">
              <w:t xml:space="preserve"> </w:t>
            </w:r>
            <w:r w:rsidR="004B72F0">
              <w:rPr>
                <w:i/>
              </w:rPr>
              <w:t xml:space="preserve">от </w:t>
            </w:r>
            <w:r w:rsidR="004B72F0">
              <w:rPr>
                <w:i/>
                <w:lang w:val="ru-RU"/>
              </w:rPr>
              <w:t>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i/>
              </w:rPr>
            </w:pPr>
            <w:r w:rsidRPr="005C5C3F">
              <w:t>Декларация за дейността на кандидата (икономическа/неикономическа) и годишен финансово-счетоводен отчет, от който да е видно финансово-счетоводно (в т. ч. аналитично) обособяване на икономическата и неикономическа дейностс подпис/и печат и сканирана във формат„pdf“ или „jpg“.</w:t>
            </w:r>
            <w:r w:rsidRPr="00FD1C36">
              <w:rPr>
                <w:lang w:val="ru-RU"/>
              </w:rPr>
              <w:t xml:space="preserve"> </w:t>
            </w:r>
            <w:r w:rsidRPr="005C5C3F">
              <w:rPr>
                <w:i/>
                <w:lang w:val="en-US"/>
              </w:rPr>
              <w:t>(</w:t>
            </w:r>
            <w:r w:rsidRPr="005C5C3F">
              <w:rPr>
                <w:i/>
              </w:rPr>
              <w:t>когато е приложимо</w:t>
            </w:r>
            <w:r w:rsidRPr="005C5C3F">
              <w:rPr>
                <w:i/>
                <w:lang w:val="en-US"/>
              </w:rPr>
              <w:t>)</w:t>
            </w:r>
          </w:p>
          <w:p w:rsidR="004E655E" w:rsidRPr="005C5C3F" w:rsidRDefault="004E655E" w:rsidP="001163C1">
            <w:pPr>
              <w:pStyle w:val="af0"/>
              <w:numPr>
                <w:ilvl w:val="0"/>
                <w:numId w:val="25"/>
              </w:numPr>
              <w:spacing w:after="200" w:line="276" w:lineRule="auto"/>
              <w:jc w:val="both"/>
              <w:rPr>
                <w:i/>
              </w:rPr>
            </w:pPr>
            <w:r w:rsidRPr="005C5C3F">
              <w:t>Декларация за неприложими документи 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00536EDE">
              <w:rPr>
                <w:i/>
              </w:rPr>
              <w:t xml:space="preserve">(Приложение № 8 от </w:t>
            </w:r>
            <w:r w:rsidR="00536EDE">
              <w:rPr>
                <w:i/>
                <w:lang w:val="ru-RU"/>
              </w:rPr>
              <w:t>Документи за попълване към Условия за кандидатстване</w:t>
            </w:r>
            <w:r w:rsidRPr="005C5C3F">
              <w:rPr>
                <w:i/>
              </w:rPr>
              <w:t>)</w:t>
            </w:r>
          </w:p>
          <w:p w:rsidR="004E655E" w:rsidRPr="005C5C3F" w:rsidRDefault="004E655E" w:rsidP="001163C1">
            <w:pPr>
              <w:pStyle w:val="af0"/>
              <w:numPr>
                <w:ilvl w:val="0"/>
                <w:numId w:val="25"/>
              </w:numPr>
              <w:spacing w:after="200" w:line="276" w:lineRule="auto"/>
              <w:jc w:val="both"/>
              <w:rPr>
                <w:i/>
              </w:rPr>
            </w:pPr>
            <w:r w:rsidRPr="005C5C3F">
              <w:t>Декларация по чл. 25, ал. 2 от ЗУСЕСИФ с подпис/и, печат и сканирана във формат „pdf“ или „jpg</w:t>
            </w:r>
            <w:r w:rsidRPr="005C5C3F">
              <w:rPr>
                <w:i/>
              </w:rPr>
              <w:t>“. (Приложение № 5</w:t>
            </w:r>
            <w:r w:rsidR="00536EDE">
              <w:rPr>
                <w:i/>
              </w:rPr>
              <w:t xml:space="preserve"> от </w:t>
            </w:r>
            <w:r w:rsidR="00536EDE">
              <w:rPr>
                <w:i/>
                <w:lang w:val="ru-RU"/>
              </w:rPr>
              <w:t>Документи за попълване към Условия за кандидатстване</w:t>
            </w:r>
            <w:r w:rsidR="00536EDE">
              <w:rPr>
                <w:i/>
              </w:rPr>
              <w:t xml:space="preserve"> </w:t>
            </w:r>
            <w:r w:rsidRPr="005C5C3F">
              <w:rPr>
                <w:i/>
              </w:rPr>
              <w:t>)</w:t>
            </w:r>
          </w:p>
          <w:p w:rsidR="004E655E" w:rsidRPr="005C5C3F" w:rsidRDefault="004E655E" w:rsidP="001163C1">
            <w:pPr>
              <w:pStyle w:val="af0"/>
              <w:numPr>
                <w:ilvl w:val="0"/>
                <w:numId w:val="25"/>
              </w:numPr>
              <w:spacing w:after="200" w:line="276" w:lineRule="auto"/>
              <w:jc w:val="both"/>
              <w:rPr>
                <w:i/>
              </w:rPr>
            </w:pPr>
            <w:r w:rsidRPr="005C5C3F">
              <w:t xml:space="preserve"> Декларация за генериране на нетни приходи</w:t>
            </w:r>
            <w:r w:rsidRPr="005C5C3F">
              <w:rPr>
                <w:i/>
              </w:rPr>
              <w:t xml:space="preserve"> </w:t>
            </w:r>
            <w:r w:rsidRPr="005C5C3F">
              <w:t>с подпис/и, печат и сканирана във формат „</w:t>
            </w:r>
            <w:r w:rsidRPr="005C5C3F">
              <w:rPr>
                <w:lang w:val="en-US"/>
              </w:rPr>
              <w:t>pdf</w:t>
            </w:r>
            <w:r w:rsidRPr="005C5C3F">
              <w:t>“ или „</w:t>
            </w:r>
            <w:r w:rsidRPr="005C5C3F">
              <w:rPr>
                <w:lang w:val="en-US"/>
              </w:rPr>
              <w:t>jpg</w:t>
            </w:r>
            <w:r w:rsidRPr="005C5C3F">
              <w:t xml:space="preserve">“. </w:t>
            </w:r>
            <w:r w:rsidRPr="005C5C3F">
              <w:rPr>
                <w:i/>
              </w:rPr>
              <w:t xml:space="preserve">(Приложение № </w:t>
            </w:r>
            <w:r w:rsidR="00536EDE">
              <w:rPr>
                <w:i/>
              </w:rPr>
              <w:t xml:space="preserve">19 от </w:t>
            </w:r>
            <w:r w:rsidR="00536EDE">
              <w:rPr>
                <w:i/>
                <w:lang w:val="ru-RU"/>
              </w:rPr>
              <w:t>Документи за попълване към Условия за кандидатстване</w:t>
            </w:r>
            <w:r w:rsidR="00536EDE">
              <w:rPr>
                <w:i/>
              </w:rPr>
              <w:t xml:space="preserve"> </w:t>
            </w:r>
            <w:r w:rsidRPr="005C5C3F">
              <w:rPr>
                <w:i/>
              </w:rPr>
              <w:t>)</w:t>
            </w:r>
            <w:r w:rsidRPr="005C5C3F">
              <w:rPr>
                <w:i/>
                <w:lang w:val="ru-RU"/>
              </w:rPr>
              <w:t>.</w:t>
            </w:r>
          </w:p>
          <w:p w:rsidR="004E655E" w:rsidRPr="005C5C3F" w:rsidRDefault="004E655E" w:rsidP="001163C1">
            <w:pPr>
              <w:pStyle w:val="af0"/>
              <w:numPr>
                <w:ilvl w:val="0"/>
                <w:numId w:val="25"/>
              </w:numPr>
            </w:pPr>
            <w:r w:rsidRPr="005C5C3F">
              <w:t>Решение на компетентния орган на юридическото лице за кандидатстване по настоящите Условия за кандидатстване; ./</w:t>
            </w:r>
            <w:r w:rsidRPr="005C5C3F">
              <w:rPr>
                <w:i/>
              </w:rPr>
              <w:t>не се отнася</w:t>
            </w:r>
            <w:r w:rsidRPr="005C5C3F">
              <w:t xml:space="preserve"> </w:t>
            </w:r>
            <w:r w:rsidRPr="005C5C3F">
              <w:rPr>
                <w:i/>
              </w:rPr>
              <w:t>за кандидати общини</w:t>
            </w:r>
            <w:r w:rsidRPr="005C5C3F">
              <w:t>/ 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Решение на общинския съвет за кандидатстване по реда на настоящите Условия за кандидатстване ./</w:t>
            </w:r>
            <w:r w:rsidRPr="005C5C3F">
              <w:rPr>
                <w:i/>
              </w:rPr>
              <w:t>за кандидати общини</w:t>
            </w:r>
            <w:r w:rsidRPr="005C5C3F">
              <w:t>/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Решение на общинския съвет, че дейностите, включени в проектите, съответстват на приоритетите на общинския план за развитие ./</w:t>
            </w:r>
            <w:r w:rsidRPr="005C5C3F">
              <w:rPr>
                <w:i/>
              </w:rPr>
              <w:t>за кандидати общини</w:t>
            </w:r>
            <w:r w:rsidRPr="005C5C3F">
              <w:t>/ Представя се във формат „pdf“ или „jpg“</w:t>
            </w:r>
            <w:r w:rsidRPr="005C5C3F">
              <w:rPr>
                <w:i/>
              </w:rPr>
              <w:t>.</w:t>
            </w:r>
          </w:p>
          <w:p w:rsidR="004E655E" w:rsidRPr="005C5C3F" w:rsidRDefault="004E655E" w:rsidP="001163C1">
            <w:pPr>
              <w:pStyle w:val="af0"/>
              <w:numPr>
                <w:ilvl w:val="0"/>
                <w:numId w:val="25"/>
              </w:numPr>
              <w:spacing w:after="200" w:line="276" w:lineRule="auto"/>
              <w:jc w:val="both"/>
            </w:pPr>
            <w:r w:rsidRPr="005C5C3F">
              <w:t xml:space="preserve"> 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w:t>
            </w:r>
            <w:r w:rsidRPr="005C5C3F">
              <w:rPr>
                <w:i/>
              </w:rPr>
              <w:t>за кандидати общини</w:t>
            </w:r>
            <w:r w:rsidRPr="005C5C3F">
              <w:t>/ Представя се във формат „pdf“ или „jpg“.</w:t>
            </w:r>
            <w:r w:rsidRPr="005C5C3F">
              <w:rPr>
                <w:i/>
              </w:rPr>
              <w:t xml:space="preserve"> </w:t>
            </w:r>
          </w:p>
          <w:p w:rsidR="004E655E" w:rsidRPr="005C5C3F" w:rsidRDefault="004E655E" w:rsidP="001163C1">
            <w:pPr>
              <w:pStyle w:val="af0"/>
              <w:numPr>
                <w:ilvl w:val="0"/>
                <w:numId w:val="25"/>
              </w:numPr>
              <w:spacing w:after="200" w:line="276" w:lineRule="auto"/>
              <w:jc w:val="both"/>
              <w:rPr>
                <w:lang w:val="ru-RU"/>
              </w:rPr>
            </w:pPr>
            <w:r w:rsidRPr="005C5C3F">
              <w:t xml:space="preserve">Решение за преценяване на необходимостта от извършване на оценка на </w:t>
            </w:r>
            <w:r w:rsidRPr="005C5C3F">
              <w:lastRenderedPageBreak/>
              <w:t xml:space="preserve">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5C5C3F">
              <w:rPr>
                <w:i/>
              </w:rPr>
              <w:t>(когато е приложимо);</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w:t>
            </w:r>
            <w:r w:rsidRPr="005C5C3F">
              <w:rPr>
                <w:i/>
              </w:rPr>
              <w:t>(когато е приложимо);</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 xml:space="preserve">Разрешително за водовземане и/или разрешително за ползване на воден обект в случаите, предвидени в Закона за водите </w:t>
            </w:r>
            <w:r w:rsidRPr="005C5C3F">
              <w:rPr>
                <w:i/>
              </w:rPr>
              <w:t>(когато е приложимо);</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rPr>
                <w:i/>
              </w:rPr>
              <w:t xml:space="preserve"> </w:t>
            </w:r>
            <w:r w:rsidRPr="005C5C3F">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w:t>
            </w:r>
            <w:r w:rsidRPr="005C5C3F">
              <w:rPr>
                <w:i/>
              </w:rPr>
              <w:t>(когато е приложимо);</w:t>
            </w:r>
            <w:r w:rsidRPr="005C5C3F">
              <w:t xml:space="preserve">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 xml:space="preserve">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Pr="005C5C3F">
              <w:rPr>
                <w:i/>
              </w:rPr>
              <w:t>(когато е приложимо);</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Pr="005C5C3F">
              <w:rPr>
                <w:i/>
              </w:rPr>
              <w:t>(когато е приложимо)</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Pr="005C5C3F">
              <w:rPr>
                <w:i/>
              </w:rPr>
              <w:t xml:space="preserve">(не се отнася за кандидати общини); </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Анализ за социално-икономическите ползи за развитието на селския район и устойчивостта на инвестицията, </w:t>
            </w:r>
            <w:r w:rsidRPr="00FD1C36">
              <w:rPr>
                <w:lang w:val="ru-RU"/>
              </w:rPr>
              <w:t>(</w:t>
            </w:r>
            <w:r w:rsidRPr="005C5C3F">
              <w:rPr>
                <w:i/>
              </w:rPr>
              <w:t>когато е приложимо</w:t>
            </w:r>
            <w:r w:rsidRPr="00FD1C36">
              <w:rPr>
                <w:i/>
                <w:lang w:val="ru-RU"/>
              </w:rPr>
              <w:t>)</w:t>
            </w:r>
            <w:r w:rsidRPr="005C5C3F">
              <w:rPr>
                <w:i/>
              </w:rPr>
              <w:t xml:space="preserve">, </w:t>
            </w:r>
            <w:r w:rsidRPr="005C5C3F">
              <w:t xml:space="preserve"> съгласно </w:t>
            </w:r>
            <w:r w:rsidRPr="005C5C3F">
              <w:rPr>
                <w:lang w:val="ru-RU"/>
              </w:rPr>
              <w:t>(</w:t>
            </w:r>
            <w:r w:rsidRPr="005C5C3F">
              <w:rPr>
                <w:i/>
              </w:rPr>
              <w:t xml:space="preserve">Приложение № </w:t>
            </w:r>
            <w:r w:rsidR="00987A5E">
              <w:rPr>
                <w:i/>
              </w:rPr>
              <w:t xml:space="preserve">9 от </w:t>
            </w:r>
            <w:r w:rsidR="00987A5E">
              <w:rPr>
                <w:i/>
                <w:lang w:val="ru-RU"/>
              </w:rPr>
              <w:t>Документи за попълване към Условия за кандидатстване</w:t>
            </w:r>
            <w:r w:rsidR="00987A5E">
              <w:rPr>
                <w:i/>
              </w:rPr>
              <w:t xml:space="preserve"> </w:t>
            </w:r>
            <w:r w:rsidRPr="005C5C3F">
              <w:rPr>
                <w:i/>
              </w:rPr>
              <w:t>)</w:t>
            </w:r>
            <w:r w:rsidRPr="005C5C3F">
              <w:t xml:space="preserve"> Представя се във </w:t>
            </w:r>
            <w:r w:rsidRPr="005C5C3F">
              <w:lastRenderedPageBreak/>
              <w:t>формат „</w:t>
            </w:r>
            <w:r w:rsidRPr="005C5C3F">
              <w:rPr>
                <w:lang w:val="en-US"/>
              </w:rPr>
              <w:t>pdf</w:t>
            </w:r>
            <w:r w:rsidRPr="005C5C3F">
              <w:t>“</w:t>
            </w:r>
          </w:p>
          <w:p w:rsidR="004E655E" w:rsidRPr="005C5C3F" w:rsidRDefault="004E655E" w:rsidP="001163C1">
            <w:pPr>
              <w:pStyle w:val="af0"/>
              <w:numPr>
                <w:ilvl w:val="0"/>
                <w:numId w:val="25"/>
              </w:numPr>
              <w:spacing w:after="200" w:line="276" w:lineRule="auto"/>
              <w:jc w:val="both"/>
              <w:rPr>
                <w:lang w:val="ru-RU"/>
              </w:rPr>
            </w:pPr>
            <w:r w:rsidRPr="005C5C3F">
              <w:rPr>
                <w:lang w:val="ru-RU"/>
              </w:rPr>
              <w:t>Анализ разходи –ползи/ финансов анализ/ (</w:t>
            </w:r>
            <w:r w:rsidR="00987A5E">
              <w:rPr>
                <w:i/>
                <w:lang w:val="ru-RU"/>
              </w:rPr>
              <w:t xml:space="preserve">Приложение № 10 </w:t>
            </w:r>
            <w:r w:rsidR="00987A5E">
              <w:rPr>
                <w:i/>
              </w:rPr>
              <w:t xml:space="preserve">от </w:t>
            </w:r>
            <w:r w:rsidR="00987A5E">
              <w:rPr>
                <w:i/>
                <w:lang w:val="ru-RU"/>
              </w:rPr>
              <w:t>Документи за попълване към Условия за кандидатстване</w:t>
            </w:r>
            <w:r w:rsidRPr="005C5C3F">
              <w:rPr>
                <w:i/>
                <w:lang w:val="ru-RU"/>
              </w:rPr>
              <w:t>).</w:t>
            </w:r>
            <w:r w:rsidRPr="00FD1C36">
              <w:rPr>
                <w:lang w:val="ru-RU"/>
              </w:rPr>
              <w:t xml:space="preserve"> (</w:t>
            </w:r>
            <w:r w:rsidRPr="005C5C3F">
              <w:rPr>
                <w:i/>
              </w:rPr>
              <w:t>когато е приложимо</w:t>
            </w:r>
            <w:r w:rsidRPr="00FD1C36">
              <w:rPr>
                <w:i/>
                <w:lang w:val="ru-RU"/>
              </w:rPr>
              <w:t>)</w:t>
            </w:r>
            <w:r w:rsidRPr="005C5C3F">
              <w:rPr>
                <w:i/>
              </w:rPr>
              <w:t xml:space="preserve">, </w:t>
            </w:r>
            <w:r w:rsidRPr="005C5C3F">
              <w:t xml:space="preserve"> </w:t>
            </w:r>
            <w:r w:rsidRPr="005C5C3F">
              <w:rPr>
                <w:i/>
                <w:lang w:val="ru-RU"/>
              </w:rPr>
              <w:t xml:space="preserve"> </w:t>
            </w:r>
            <w:r w:rsidRPr="005C5C3F">
              <w:t>Представя се във формат „pdf“ или „jpg“.</w:t>
            </w:r>
          </w:p>
          <w:p w:rsidR="004E655E" w:rsidRPr="005C5C3F" w:rsidRDefault="00987A5E" w:rsidP="00987A5E">
            <w:pPr>
              <w:pStyle w:val="af0"/>
              <w:numPr>
                <w:ilvl w:val="0"/>
                <w:numId w:val="25"/>
              </w:numPr>
              <w:spacing w:after="200" w:line="276" w:lineRule="auto"/>
              <w:jc w:val="both"/>
              <w:rPr>
                <w:lang w:val="ru-RU"/>
              </w:rPr>
            </w:pPr>
            <w:r>
              <w:t xml:space="preserve">Анализ разходи </w:t>
            </w:r>
            <w:r w:rsidRPr="00987A5E">
              <w:t xml:space="preserve">ползи приходи и оперативни р-ди </w:t>
            </w:r>
            <w:r w:rsidR="004E655E" w:rsidRPr="005C5C3F">
              <w:t>(</w:t>
            </w:r>
            <w:r>
              <w:rPr>
                <w:i/>
              </w:rPr>
              <w:t>Приложение № 11</w:t>
            </w:r>
            <w:r>
              <w:t xml:space="preserve"> </w:t>
            </w:r>
            <w:r>
              <w:rPr>
                <w:i/>
              </w:rPr>
              <w:t xml:space="preserve">от </w:t>
            </w:r>
            <w:r>
              <w:rPr>
                <w:i/>
                <w:lang w:val="ru-RU"/>
              </w:rPr>
              <w:t>Документи за попълване към Условия за кандидатстване</w:t>
            </w:r>
            <w:r w:rsidR="004E655E" w:rsidRPr="005C5C3F">
              <w:rPr>
                <w:i/>
              </w:rPr>
              <w:t>).</w:t>
            </w:r>
            <w:r w:rsidR="004E655E" w:rsidRPr="005C5C3F">
              <w:t xml:space="preserve"> </w:t>
            </w:r>
            <w:r w:rsidR="004E655E" w:rsidRPr="00FD1C36">
              <w:rPr>
                <w:lang w:val="ru-RU"/>
              </w:rPr>
              <w:t>(</w:t>
            </w:r>
            <w:r w:rsidR="004E655E" w:rsidRPr="005C5C3F">
              <w:rPr>
                <w:i/>
              </w:rPr>
              <w:t>когато е приложимо</w:t>
            </w:r>
            <w:r w:rsidR="004E655E" w:rsidRPr="00FD1C36">
              <w:rPr>
                <w:i/>
                <w:lang w:val="ru-RU"/>
              </w:rPr>
              <w:t>)</w:t>
            </w:r>
            <w:r w:rsidR="004E655E" w:rsidRPr="005C5C3F">
              <w:rPr>
                <w:i/>
              </w:rPr>
              <w:t>,</w:t>
            </w:r>
            <w:r w:rsidR="004E655E"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 Представя се във формат „pdf“ или „jpg</w:t>
            </w:r>
            <w:r w:rsidRPr="005C5C3F">
              <w:rPr>
                <w:i/>
              </w:rPr>
              <w:t>“.</w:t>
            </w:r>
            <w:r w:rsidRPr="005C5C3F">
              <w:rPr>
                <w:i/>
                <w:lang w:val="ru-RU"/>
              </w:rPr>
              <w:t>(</w:t>
            </w:r>
            <w:r w:rsidRPr="005C5C3F">
              <w:rPr>
                <w:i/>
              </w:rPr>
              <w:t>важи в случаите , когато бенефециентът не се явява възложител по ЗОП</w:t>
            </w:r>
            <w:r w:rsidRPr="005C5C3F">
              <w:rPr>
                <w:i/>
                <w:lang w:val="ru-RU"/>
              </w:rPr>
              <w:t>)</w:t>
            </w:r>
          </w:p>
          <w:p w:rsidR="004E655E" w:rsidRPr="005C5C3F" w:rsidRDefault="004E655E" w:rsidP="001163C1">
            <w:pPr>
              <w:pStyle w:val="af0"/>
              <w:numPr>
                <w:ilvl w:val="0"/>
                <w:numId w:val="25"/>
              </w:numPr>
              <w:spacing w:after="200" w:line="276" w:lineRule="auto"/>
              <w:jc w:val="both"/>
              <w:rPr>
                <w:lang w:val="ru-RU"/>
              </w:rPr>
            </w:pPr>
            <w:r w:rsidRPr="005C5C3F">
              <w:t xml:space="preserve">Номерирано в долния десен ъгъл сканирано копие на всички документи от проведената съгласно изискванията по </w:t>
            </w:r>
            <w:hyperlink r:id="rId31" w:history="1">
              <w:r w:rsidRPr="005C5C3F">
                <w:t>ЗОП</w:t>
              </w:r>
            </w:hyperlink>
            <w:r w:rsidRPr="005C5C3F">
              <w:t xml:space="preserve"> процедура за изпълнение на дейностите по проекта </w:t>
            </w:r>
            <w:r w:rsidRPr="005C5C3F">
              <w:rPr>
                <w:i/>
              </w:rPr>
              <w:t>(важи, в случай че проектът включва разходи по т. 4</w:t>
            </w:r>
            <w:r w:rsidRPr="005C5C3F">
              <w:rPr>
                <w:i/>
                <w:lang w:val="ru-RU"/>
              </w:rPr>
              <w:t xml:space="preserve"> </w:t>
            </w:r>
            <w:r w:rsidRPr="005C5C3F">
              <w:rPr>
                <w:i/>
              </w:rPr>
              <w:t>от Раздел 14.1. „Допустими разходи”, извършени преди подаване на проектното предложение и бенефициентът се явява възложител по ЗОП</w:t>
            </w:r>
            <w:r w:rsidRPr="005C5C3F">
              <w:rPr>
                <w:i/>
                <w:lang w:val="ru-RU"/>
              </w:rPr>
              <w:t>)</w:t>
            </w:r>
            <w:r w:rsidRPr="005C5C3F">
              <w:rPr>
                <w:i/>
              </w:rPr>
              <w:t>.</w:t>
            </w:r>
            <w:r w:rsidRPr="005C5C3F">
              <w:t xml:space="preserve"> Представя се във формат „pdf“ или „</w:t>
            </w:r>
            <w:r w:rsidRPr="005C5C3F">
              <w:rPr>
                <w:lang w:val="en-US"/>
              </w:rPr>
              <w:t>jpg</w:t>
            </w:r>
            <w:r w:rsidRPr="005C5C3F">
              <w:rPr>
                <w:lang w:val="ru-RU"/>
              </w:rPr>
              <w:t>”.</w:t>
            </w:r>
          </w:p>
          <w:p w:rsidR="004E655E" w:rsidRPr="005C5C3F" w:rsidRDefault="004E655E" w:rsidP="001163C1">
            <w:pPr>
              <w:pStyle w:val="af0"/>
              <w:numPr>
                <w:ilvl w:val="0"/>
                <w:numId w:val="25"/>
              </w:numPr>
              <w:jc w:val="both"/>
            </w:pPr>
            <w:r w:rsidRPr="005C5C3F">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w:t>
            </w:r>
            <w:r w:rsidRPr="005C5C3F">
              <w:rPr>
                <w:i/>
              </w:rPr>
              <w:t>(когато е приложимо);</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w:t>
            </w:r>
            <w:r w:rsidRPr="005C5C3F">
              <w:rPr>
                <w:i/>
              </w:rPr>
              <w:t xml:space="preserve">(когато е приложимо); </w:t>
            </w:r>
            <w:r w:rsidRPr="005C5C3F">
              <w:t xml:space="preserve">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 xml:space="preserve">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5C5C3F">
              <w:rPr>
                <w:i/>
              </w:rPr>
              <w:t>(важи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FD1C36">
              <w:rPr>
                <w:lang w:val="ru-RU"/>
              </w:rPr>
              <w:t>)</w:t>
            </w:r>
            <w:r w:rsidRPr="005C5C3F">
              <w:t xml:space="preserve"> В случаите, когато оферентите са чуждестранни лица, </w:t>
            </w:r>
            <w:r w:rsidRPr="005C5C3F">
              <w:lastRenderedPageBreak/>
              <w:t xml:space="preserve">следва да представят документ за правосубектност, съгласно Националното им законодателство. Представя се във формат "pdf'/"jpg"/"xls";). </w:t>
            </w:r>
          </w:p>
          <w:p w:rsidR="004E655E" w:rsidRPr="005C5C3F" w:rsidRDefault="004E655E" w:rsidP="00987A5E">
            <w:pPr>
              <w:pStyle w:val="af0"/>
              <w:numPr>
                <w:ilvl w:val="0"/>
                <w:numId w:val="25"/>
              </w:numPr>
              <w:spacing w:after="200" w:line="276" w:lineRule="auto"/>
              <w:jc w:val="both"/>
              <w:rPr>
                <w:lang w:val="ru-RU"/>
              </w:rPr>
            </w:pPr>
            <w:r w:rsidRPr="005C5C3F">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w:t>
            </w:r>
            <w:r w:rsidRPr="005C5C3F">
              <w:rPr>
                <w:i/>
              </w:rPr>
              <w:t xml:space="preserve">(Приложение № </w:t>
            </w:r>
            <w:r w:rsidR="00987A5E">
              <w:rPr>
                <w:i/>
              </w:rPr>
              <w:t>17</w:t>
            </w:r>
            <w:r w:rsidR="00987A5E">
              <w:t xml:space="preserve"> </w:t>
            </w:r>
            <w:r w:rsidR="00987A5E">
              <w:rPr>
                <w:i/>
              </w:rPr>
              <w:t xml:space="preserve">от </w:t>
            </w:r>
            <w:r w:rsidR="00987A5E">
              <w:rPr>
                <w:i/>
                <w:lang w:val="ru-RU"/>
              </w:rPr>
              <w:t>Документи за попълване към Условия за кандидатстване</w:t>
            </w:r>
            <w:r w:rsidR="00987A5E">
              <w:rPr>
                <w:i/>
              </w:rPr>
              <w:t xml:space="preserve"> </w:t>
            </w:r>
            <w:r w:rsidRPr="005C5C3F">
              <w:rPr>
                <w:i/>
              </w:rPr>
              <w:t>)</w:t>
            </w:r>
            <w:r w:rsidRPr="005C5C3F">
              <w:t xml:space="preserve"> </w:t>
            </w:r>
            <w:r w:rsidRPr="005C5C3F">
              <w:rPr>
                <w:i/>
              </w:rPr>
              <w:t>(важи в случаите, 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FD1C36">
              <w:rPr>
                <w:i/>
                <w:lang w:val="ru-RU"/>
              </w:rPr>
              <w:t>)</w:t>
            </w:r>
            <w:r w:rsidRPr="005C5C3F">
              <w:rPr>
                <w:i/>
              </w:rPr>
              <w:t xml:space="preserve"> </w:t>
            </w:r>
            <w:r w:rsidRPr="005C5C3F">
              <w:t>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формат "pdf'/"jpg"/"xls" Оферентите трябва да отговарят на следните изисквания:</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 xml:space="preserve">а) когато е местно лице - да е вписано в търговския регистър към Агенцията по вписванията или да е регистрирано по Закона за юридическите лица с нестопанска цел, а когато е чуждестранно лице - да е правосубектно съгласно националното си законодателство; </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 xml:space="preserve">б) оферент на строително-монтажни работи, местно или чуждестранно лице, трябва да е вписан в Централния професионален регистър на строителя по Закона за Камарата на строителите и да притежава разрешение да извършва строежи и/или отделни видове строителни и монтажни работи от съответната категория съгласно изискванията на чл. 3, ал. 2 на Закона за Камарата на строителите; </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техническа спецификация в случаите на закупуване на транспортни средства, машини, оборудване, съоръжения, включително компютърен софтуер и специализирана техника, ценово предложение в левове с посочен ДДС.</w:t>
            </w:r>
          </w:p>
          <w:p w:rsidR="004E655E" w:rsidRPr="005C5C3F" w:rsidRDefault="004E655E" w:rsidP="001163C1">
            <w:pPr>
              <w:jc w:val="both"/>
              <w:rPr>
                <w:rFonts w:ascii="Times New Roman" w:hAnsi="Times New Roman" w:cs="Times New Roman"/>
                <w:sz w:val="24"/>
                <w:szCs w:val="24"/>
              </w:rPr>
            </w:pPr>
            <w:r w:rsidRPr="005C5C3F">
              <w:rPr>
                <w:rFonts w:ascii="Times New Roman" w:hAnsi="Times New Roman" w:cs="Times New Roman"/>
                <w:sz w:val="24"/>
                <w:szCs w:val="24"/>
              </w:rPr>
              <w:t xml:space="preserve">Когато ползвателят не е избрал офертата с най-ниска цена, направеният избор се обосновава писмено. </w:t>
            </w:r>
          </w:p>
          <w:p w:rsidR="004E655E" w:rsidRPr="005C5C3F" w:rsidRDefault="004E655E" w:rsidP="001163C1">
            <w:pPr>
              <w:pStyle w:val="af0"/>
              <w:numPr>
                <w:ilvl w:val="0"/>
                <w:numId w:val="25"/>
              </w:numPr>
              <w:spacing w:after="200" w:line="276" w:lineRule="auto"/>
              <w:jc w:val="both"/>
              <w:rPr>
                <w:lang w:val="ru-RU"/>
              </w:rPr>
            </w:pPr>
            <w:r w:rsidRPr="005C5C3F">
              <w:t xml:space="preserve">Документ за собственост на земя и/или друг вид недвижим имот, обект на инвестицията, или документ за учредено право на строеж върху имота за срок не </w:t>
            </w:r>
            <w:r w:rsidRPr="005C5C3F">
              <w:lastRenderedPageBreak/>
              <w:t>по-малък от 6 години, считано от датата на подаване на проектното предложение към стратегията за СВОМР (</w:t>
            </w:r>
            <w:r w:rsidRPr="005C5C3F">
              <w:rPr>
                <w:i/>
              </w:rPr>
              <w:t>когато е учредено срочно право на строеж</w:t>
            </w:r>
            <w:r w:rsidRPr="005C5C3F">
              <w:t>) - в случай на кандидатстване за разходи за СМР , за възстановяване, реставрация, ремонт или/и  реконструкция на сграда и/или помещения, дейности по вертикална планировка и подобряване на прилежащите пространства, за които се изисква разрешение за строеж съгласно ЗУТ. Представя се във формат „</w:t>
            </w:r>
            <w:r w:rsidRPr="005C5C3F">
              <w:rPr>
                <w:lang w:val="en-US"/>
              </w:rPr>
              <w:t>pdf</w:t>
            </w:r>
            <w:r w:rsidRPr="005C5C3F">
              <w:t>“ или „</w:t>
            </w:r>
            <w:r w:rsidRPr="005C5C3F">
              <w:rPr>
                <w:lang w:val="en-US"/>
              </w:rPr>
              <w:t>jpg</w:t>
            </w:r>
            <w:r w:rsidRPr="005C5C3F">
              <w:rPr>
                <w:lang w:val="ru-RU"/>
              </w:rPr>
              <w:t>”.</w:t>
            </w:r>
          </w:p>
          <w:p w:rsidR="004E655E" w:rsidRPr="005C5C3F" w:rsidRDefault="004E655E" w:rsidP="001163C1">
            <w:pPr>
              <w:pStyle w:val="af0"/>
              <w:numPr>
                <w:ilvl w:val="0"/>
                <w:numId w:val="25"/>
              </w:numPr>
              <w:spacing w:after="200" w:line="276" w:lineRule="auto"/>
              <w:jc w:val="both"/>
            </w:pPr>
            <w:r w:rsidRPr="005C5C3F">
              <w:t xml:space="preserve">Одобрен инвестиционен проект, изработен във фаза „Технически проект“ или „Работен проект“ в съответствие с изискванията на </w:t>
            </w:r>
            <w:hyperlink r:id="rId32" w:history="1">
              <w:r w:rsidRPr="005C5C3F">
                <w:t>ЗУТ</w:t>
              </w:r>
            </w:hyperlink>
            <w:r w:rsidRPr="005C5C3F">
              <w:t xml:space="preserve"> и </w:t>
            </w:r>
            <w:hyperlink r:id="rId33" w:history="1">
              <w:r w:rsidRPr="005C5C3F">
                <w:t>Наредба № 4 от 2001 г. за обхвата и съдържанието на инвестиционните проекти</w:t>
              </w:r>
            </w:hyperlink>
            <w:r w:rsidRPr="005C5C3F">
              <w:t xml:space="preserve"> </w:t>
            </w:r>
            <w:r w:rsidRPr="005C5C3F">
              <w:rPr>
                <w:i/>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34" w:history="1">
              <w:r w:rsidRPr="005C5C3F">
                <w:rPr>
                  <w:i/>
                </w:rPr>
                <w:t>Закона за устройство на територията</w:t>
              </w:r>
            </w:hyperlink>
            <w:r w:rsidRPr="005C5C3F">
              <w:rPr>
                <w:i/>
              </w:rPr>
              <w:t>).</w:t>
            </w:r>
            <w:r w:rsidRPr="005C5C3F">
              <w:t xml:space="preserve"> Представят се във формат „pdf“ или „jpg“. </w:t>
            </w:r>
          </w:p>
          <w:p w:rsidR="004E655E" w:rsidRPr="005C5C3F" w:rsidRDefault="004E655E" w:rsidP="001163C1">
            <w:pPr>
              <w:pStyle w:val="af0"/>
              <w:numPr>
                <w:ilvl w:val="0"/>
                <w:numId w:val="25"/>
              </w:numPr>
              <w:spacing w:after="200" w:line="276" w:lineRule="auto"/>
              <w:jc w:val="both"/>
            </w:pPr>
            <w:r w:rsidRPr="005C5C3F">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5C5C3F">
              <w:rPr>
                <w:i/>
              </w:rPr>
              <w:t>(изисква се само за инвестиционни проекти, които включват обекти - недвижими културни ценности);</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5C5C3F">
              <w:rPr>
                <w:i/>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 за обекти недвижими културни ценности</w:t>
            </w:r>
            <w:r w:rsidRPr="00FD1C36">
              <w:rPr>
                <w:i/>
                <w:lang w:val="ru-RU"/>
              </w:rPr>
              <w:t>)</w:t>
            </w:r>
            <w:r w:rsidRPr="005C5C3F">
              <w:rPr>
                <w:i/>
              </w:rPr>
              <w:t>;</w:t>
            </w:r>
            <w:r w:rsidRPr="005C5C3F">
              <w:t>Представя се във формат „pdf“ или „jpg”.</w:t>
            </w:r>
          </w:p>
          <w:p w:rsidR="004E655E" w:rsidRPr="005C5C3F" w:rsidRDefault="004E655E" w:rsidP="001163C1">
            <w:pPr>
              <w:pStyle w:val="af0"/>
              <w:numPr>
                <w:ilvl w:val="0"/>
                <w:numId w:val="25"/>
              </w:numPr>
              <w:spacing w:after="200" w:line="276" w:lineRule="auto"/>
            </w:pPr>
            <w:r w:rsidRPr="005C5C3F">
              <w:t xml:space="preserve">Разрешение за строеж </w:t>
            </w:r>
            <w:r w:rsidRPr="005C5C3F">
              <w:rPr>
                <w:i/>
              </w:rPr>
              <w:t xml:space="preserve">(важи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Становище на главния архитект, че строежът не се нуждае от издаване на разрешение за строеж </w:t>
            </w:r>
            <w:r w:rsidRPr="005C5C3F">
              <w:rPr>
                <w:i/>
              </w:rPr>
              <w:t xml:space="preserve">(важи в случай, че проектът включва разходи за строително-монтажни работи и за тях не се изисква издаване на разрешение за строеж съгласно ЗУТ). </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 xml:space="preserve">Разрешение за поставяне, издадено в съответствие със ЗУТ в случай, че проектът включва разходи за преместваеми обекти. </w:t>
            </w:r>
            <w:r w:rsidRPr="005C5C3F">
              <w:rPr>
                <w:i/>
              </w:rPr>
              <w:t>(важи, в случай че проектът включва разходи за преместваеми обекти и елементи на градското обзавеждане).</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pPr>
            <w:r w:rsidRPr="005C5C3F">
              <w:t xml:space="preserve">Технологичен проект ведно със схема и описание на технологичния процес, </w:t>
            </w:r>
            <w:r w:rsidRPr="005C5C3F">
              <w:lastRenderedPageBreak/>
              <w:t xml:space="preserve">изготвен и заверен от правоспособно лице. </w:t>
            </w:r>
            <w:r w:rsidRPr="005C5C3F">
              <w:rPr>
                <w:i/>
              </w:rPr>
              <w:t>(Представя се в случай на производствени дейности.)</w:t>
            </w:r>
            <w:r w:rsidRPr="005C5C3F">
              <w:t xml:space="preserve"> Представя се във формат „pdf“, „jpg“, „zip“ или „rar“..</w:t>
            </w:r>
          </w:p>
          <w:p w:rsidR="004E655E" w:rsidRPr="005C5C3F" w:rsidRDefault="004E655E" w:rsidP="001163C1">
            <w:pPr>
              <w:pStyle w:val="af0"/>
              <w:numPr>
                <w:ilvl w:val="0"/>
                <w:numId w:val="25"/>
              </w:numPr>
              <w:spacing w:after="200" w:line="276" w:lineRule="auto"/>
              <w:jc w:val="both"/>
              <w:rPr>
                <w:lang w:val="ru-RU"/>
              </w:rPr>
            </w:pPr>
            <w:r w:rsidRPr="005C5C3F">
              <w:rPr>
                <w:lang w:val="ru-RU"/>
              </w:rPr>
              <w:t xml:space="preserve">Одобрен технически/технологичен проект, придружен от предпроектно проучване, изготвен и съгласуван от правоспособно лице - </w:t>
            </w:r>
            <w:r w:rsidRPr="005C5C3F">
              <w:rPr>
                <w:i/>
                <w:lang w:val="ru-RU"/>
              </w:rPr>
              <w:t>за инвестиции за производство на енергия от възобновяеми енергийни източници;</w:t>
            </w:r>
            <w:r w:rsidRPr="005C5C3F">
              <w:t xml:space="preserve"> </w:t>
            </w:r>
            <w:r w:rsidRPr="005C5C3F">
              <w:rPr>
                <w:lang w:val="ru-RU"/>
              </w:rPr>
              <w:t>Представя се във формат „pdf“ или „jpg”,„zip“ или „rar“..</w:t>
            </w:r>
          </w:p>
          <w:p w:rsidR="004E655E" w:rsidRPr="005C5C3F" w:rsidRDefault="004E655E" w:rsidP="001163C1">
            <w:pPr>
              <w:pStyle w:val="af0"/>
              <w:numPr>
                <w:ilvl w:val="0"/>
                <w:numId w:val="25"/>
              </w:numPr>
              <w:spacing w:after="200" w:line="276" w:lineRule="auto"/>
              <w:jc w:val="both"/>
              <w:rPr>
                <w:lang w:val="ru-RU"/>
              </w:rPr>
            </w:pPr>
            <w:r w:rsidRPr="005C5C3F">
              <w:rPr>
                <w:lang w:val="ru-RU"/>
              </w:rPr>
              <w:t xml:space="preserve">Анализ, изготвен и съгласуван от правоспособно лице с компетентност в съответната област </w:t>
            </w:r>
            <w:r w:rsidRPr="005C5C3F">
              <w:rPr>
                <w:i/>
                <w:lang w:val="ru-RU"/>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5C5C3F">
              <w:rPr>
                <w:lang w:val="ru-RU"/>
              </w:rPr>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Подробни количествени сметки, заверени от правоспособно лице, а когато включват обекти недвижими културни ценности , за дейности по реставрация количествените сметки трябва да са заверени от лица вписани в регистъра  по чл.165 от Закон аза културното наследство. </w:t>
            </w:r>
            <w:r w:rsidRPr="005C5C3F">
              <w:rPr>
                <w:i/>
              </w:rPr>
              <w:t>(важи в случай, че проектът включва разходи за строително-монтажни работи).</w:t>
            </w:r>
            <w:r w:rsidRPr="005C5C3F">
              <w:t xml:space="preserve"> Представя се във формат „pdf“ и „xls”. </w:t>
            </w:r>
          </w:p>
          <w:p w:rsidR="004E655E" w:rsidRPr="005C5C3F" w:rsidRDefault="004E655E" w:rsidP="001163C1">
            <w:pPr>
              <w:pStyle w:val="af0"/>
              <w:numPr>
                <w:ilvl w:val="0"/>
                <w:numId w:val="25"/>
              </w:numPr>
              <w:spacing w:after="200" w:line="276" w:lineRule="auto"/>
              <w:jc w:val="both"/>
            </w:pPr>
            <w:r w:rsidRPr="005C5C3F">
              <w:t>Подписани количествено-стойностни сметки</w:t>
            </w:r>
            <w:r w:rsidRPr="005C5C3F">
              <w:rPr>
                <w:lang w:val="ru-RU"/>
              </w:rPr>
              <w:t xml:space="preserve">. </w:t>
            </w:r>
            <w:r w:rsidRPr="005C5C3F">
              <w:t>Представят се във формат „pdf“ и „</w:t>
            </w:r>
            <w:r w:rsidRPr="005C5C3F">
              <w:rPr>
                <w:lang w:val="en-US"/>
              </w:rPr>
              <w:t>xls</w:t>
            </w:r>
            <w:r w:rsidRPr="005C5C3F">
              <w:t>“ или  „xlsx“./когато е приложимо/</w:t>
            </w:r>
          </w:p>
          <w:p w:rsidR="004E655E" w:rsidRPr="005C5C3F" w:rsidRDefault="004E655E" w:rsidP="001163C1">
            <w:pPr>
              <w:pStyle w:val="af0"/>
              <w:numPr>
                <w:ilvl w:val="0"/>
                <w:numId w:val="25"/>
              </w:numPr>
              <w:spacing w:after="200" w:line="276" w:lineRule="auto"/>
              <w:jc w:val="both"/>
              <w:rPr>
                <w:lang w:val="ru-RU"/>
              </w:rPr>
            </w:pPr>
            <w:r w:rsidRPr="005C5C3F">
              <w:t xml:space="preserve">Удостоверение от НИНКН за статута на обекта като недвижима културна ценност </w:t>
            </w:r>
            <w:r w:rsidRPr="005C5C3F">
              <w:rPr>
                <w:i/>
              </w:rPr>
              <w:t>(не се представя за дейности включващи обекти ново строителство),</w:t>
            </w:r>
            <w:r w:rsidRPr="005C5C3F">
              <w:t xml:space="preserve"> когато е приложимо. Представя се във формат „pdf“ или „jpg“. </w:t>
            </w:r>
          </w:p>
          <w:p w:rsidR="004E655E" w:rsidRPr="005C5C3F" w:rsidRDefault="004E655E" w:rsidP="001163C1">
            <w:pPr>
              <w:pStyle w:val="af0"/>
              <w:numPr>
                <w:ilvl w:val="0"/>
                <w:numId w:val="25"/>
              </w:numPr>
              <w:spacing w:after="200" w:line="276" w:lineRule="auto"/>
              <w:jc w:val="both"/>
              <w:rPr>
                <w:lang w:val="ru-RU"/>
              </w:rPr>
            </w:pPr>
            <w:r w:rsidRPr="005C5C3F">
              <w:t>Удостоверение за актуално състояние и удостоверение за ликвидация и несъстоятелност – за физически и юридически лица, чиито данни не подлежат на вписване в Регистър БУЛСТАТ и за юридически лица, чийто данни не подлежат на вписване в Търговски регистър и регистъра на Юридическите лица с нестопанска цел</w:t>
            </w:r>
            <w:r w:rsidRPr="005C5C3F">
              <w:rPr>
                <w:i/>
              </w:rPr>
              <w:t>.</w:t>
            </w:r>
            <w:r w:rsidRPr="00FD1C36">
              <w:rPr>
                <w:i/>
                <w:lang w:val="ru-RU"/>
              </w:rPr>
              <w:t>(</w:t>
            </w:r>
            <w:r w:rsidRPr="005C5C3F">
              <w:rPr>
                <w:i/>
              </w:rPr>
              <w:t>не се отнася за кандидати общини</w:t>
            </w:r>
            <w:r w:rsidRPr="00FD1C36">
              <w:rPr>
                <w:i/>
                <w:lang w:val="ru-RU"/>
              </w:rPr>
              <w:t>)</w:t>
            </w:r>
            <w:r w:rsidRPr="005C5C3F">
              <w:t xml:space="preserve">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Удостоверение, издадено от Националната агенция за приходите, че ползвателят на помощта няма просрочени задължения, издадено не по – рано от един месец, предхождащ датата на подаване на проектното предложение към Стратегията за ВОМР. 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 xml:space="preserve">Формуляр за мониторинг по под мярка 19.2 „Прилагане на операции в рамките на Стратегии за ВОМР“ от наредба 22 </w:t>
            </w:r>
            <w:r w:rsidR="00987A5E">
              <w:rPr>
                <w:i/>
              </w:rPr>
              <w:t xml:space="preserve">(Приложение № 13 от </w:t>
            </w:r>
            <w:r w:rsidR="00987A5E">
              <w:rPr>
                <w:i/>
                <w:lang w:val="ru-RU"/>
              </w:rPr>
              <w:t>Документи за попълване към Условия за кандидатстване</w:t>
            </w:r>
            <w:r w:rsidR="00987A5E">
              <w:rPr>
                <w:i/>
              </w:rPr>
              <w:t xml:space="preserve"> </w:t>
            </w:r>
            <w:r w:rsidRPr="005C5C3F">
              <w:rPr>
                <w:i/>
              </w:rPr>
              <w:t>)</w:t>
            </w:r>
            <w:r w:rsidRPr="005C5C3F">
              <w:rPr>
                <w:i/>
                <w:lang w:val="ru-RU"/>
              </w:rPr>
              <w:t>.</w:t>
            </w:r>
            <w:r w:rsidRPr="005C5C3F">
              <w:t>Представя се във формат „pdf“ или „jpg”.</w:t>
            </w:r>
          </w:p>
          <w:p w:rsidR="004E655E" w:rsidRPr="005C5C3F" w:rsidRDefault="004E655E" w:rsidP="001163C1">
            <w:pPr>
              <w:pStyle w:val="af0"/>
              <w:numPr>
                <w:ilvl w:val="0"/>
                <w:numId w:val="25"/>
              </w:numPr>
              <w:spacing w:after="200" w:line="276" w:lineRule="auto"/>
              <w:jc w:val="both"/>
              <w:rPr>
                <w:lang w:val="ru-RU"/>
              </w:rPr>
            </w:pPr>
            <w:r w:rsidRPr="005C5C3F">
              <w:t>Формуляр за наблюдение изпълнението на дейностите по проекта по под мярка 7.2.Инвестиции в създаването, подобряването или разширяването на всички видове малка по мащаби инфраструктура от ДФЗ</w:t>
            </w:r>
            <w:r w:rsidRPr="005C5C3F">
              <w:rPr>
                <w:i/>
              </w:rPr>
              <w:t xml:space="preserve">. (Приложение № </w:t>
            </w:r>
            <w:r w:rsidR="00987A5E">
              <w:rPr>
                <w:i/>
                <w:lang w:val="ru-RU"/>
              </w:rPr>
              <w:t xml:space="preserve">18 </w:t>
            </w:r>
            <w:r w:rsidR="00987A5E">
              <w:rPr>
                <w:i/>
              </w:rPr>
              <w:t xml:space="preserve">от </w:t>
            </w:r>
            <w:r w:rsidR="00987A5E">
              <w:rPr>
                <w:i/>
                <w:lang w:val="ru-RU"/>
              </w:rPr>
              <w:t>Документи за попълване към Условия за кандидатстване</w:t>
            </w:r>
            <w:r w:rsidRPr="005C5C3F">
              <w:rPr>
                <w:i/>
              </w:rPr>
              <w:t>)</w:t>
            </w:r>
            <w:r w:rsidRPr="005C5C3F">
              <w:t>Представя се във формат „</w:t>
            </w:r>
            <w:r w:rsidRPr="005C5C3F">
              <w:rPr>
                <w:lang w:val="en-US"/>
              </w:rPr>
              <w:t>pdf</w:t>
            </w:r>
            <w:r w:rsidRPr="005C5C3F">
              <w:t xml:space="preserve">“ или </w:t>
            </w:r>
            <w:r w:rsidRPr="005C5C3F">
              <w:lastRenderedPageBreak/>
              <w:t>„</w:t>
            </w:r>
            <w:r w:rsidRPr="005C5C3F">
              <w:rPr>
                <w:lang w:val="en-US"/>
              </w:rPr>
              <w:t>jpg</w:t>
            </w:r>
            <w:r w:rsidRPr="005C5C3F">
              <w:rPr>
                <w:lang w:val="ru-RU"/>
              </w:rPr>
              <w:t>”.</w:t>
            </w:r>
          </w:p>
          <w:p w:rsidR="004E655E" w:rsidRPr="005C5C3F" w:rsidRDefault="004E655E" w:rsidP="001163C1">
            <w:pPr>
              <w:pStyle w:val="af0"/>
              <w:numPr>
                <w:ilvl w:val="0"/>
                <w:numId w:val="25"/>
              </w:numPr>
              <w:spacing w:after="200" w:line="276" w:lineRule="auto"/>
              <w:jc w:val="both"/>
              <w:rPr>
                <w:rFonts w:eastAsiaTheme="minorHAnsi"/>
                <w:lang w:val="ru-RU" w:eastAsia="en-US"/>
              </w:rPr>
            </w:pPr>
            <w:r w:rsidRPr="005C5C3F">
              <w:t xml:space="preserve">Удостоверение за ползван патент и/или удостоверение за полезен модел или внедряване на инвестиции, </w:t>
            </w:r>
            <w:r w:rsidRPr="005C5C3F">
              <w:rPr>
                <w:i/>
              </w:rPr>
              <w:t>когато е приложимо</w:t>
            </w:r>
            <w:r w:rsidRPr="005C5C3F">
              <w:t>; Представя се във формат „</w:t>
            </w:r>
            <w:r w:rsidRPr="005C5C3F">
              <w:rPr>
                <w:lang w:val="en-US"/>
              </w:rPr>
              <w:t>pdf</w:t>
            </w:r>
            <w:r w:rsidRPr="005C5C3F">
              <w:t>“ или „</w:t>
            </w:r>
            <w:r w:rsidRPr="005C5C3F">
              <w:rPr>
                <w:lang w:val="en-US"/>
              </w:rPr>
              <w:t>jpg</w:t>
            </w:r>
            <w:r w:rsidRPr="005C5C3F">
              <w:rPr>
                <w:lang w:val="ru-RU"/>
              </w:rPr>
              <w:t>”.</w:t>
            </w:r>
          </w:p>
          <w:p w:rsidR="004E655E" w:rsidRPr="005C5C3F" w:rsidRDefault="004E655E" w:rsidP="001163C1">
            <w:pPr>
              <w:pStyle w:val="af0"/>
              <w:numPr>
                <w:ilvl w:val="0"/>
                <w:numId w:val="25"/>
              </w:numPr>
              <w:spacing w:after="200" w:line="276" w:lineRule="auto"/>
              <w:jc w:val="both"/>
              <w:rPr>
                <w:rFonts w:eastAsiaTheme="minorHAnsi"/>
                <w:lang w:val="ru-RU" w:eastAsia="en-US"/>
              </w:rPr>
            </w:pPr>
            <w:r w:rsidRPr="005C5C3F">
              <w:rPr>
                <w:rFonts w:eastAsiaTheme="minorHAnsi"/>
                <w:lang w:val="ru-RU" w:eastAsia="en-US"/>
              </w:rPr>
              <w:t>Други документи за доказване на изисквания от стратегията за ВОМР (когато е приложимо).</w:t>
            </w:r>
          </w:p>
          <w:p w:rsidR="004E655E" w:rsidRPr="005C5C3F" w:rsidRDefault="004E655E" w:rsidP="001163C1">
            <w:pPr>
              <w:jc w:val="both"/>
              <w:rPr>
                <w:rFonts w:ascii="Times New Roman" w:hAnsi="Times New Roman" w:cs="Times New Roman"/>
                <w:sz w:val="24"/>
                <w:szCs w:val="24"/>
              </w:rPr>
            </w:pP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 xml:space="preserve">24.2. Списък със специфични документи за дейността </w:t>
      </w:r>
      <w:r w:rsidRPr="004A24F1">
        <w:rPr>
          <w:rFonts w:ascii="Times New Roman" w:eastAsia="Times New Roman" w:hAnsi="Times New Roman" w:cs="Times New Roman"/>
          <w:b/>
          <w:color w:val="000000"/>
          <w:sz w:val="24"/>
          <w:szCs w:val="24"/>
          <w:lang w:eastAsia="bg-BG"/>
        </w:rPr>
        <w:t>с</w:t>
      </w:r>
      <w:r w:rsidRPr="004A24F1">
        <w:rPr>
          <w:rFonts w:ascii="Times New Roman" w:hAnsi="Times New Roman" w:cs="Times New Roman"/>
          <w:b/>
          <w:sz w:val="24"/>
          <w:szCs w:val="24"/>
        </w:rPr>
        <w:t>троителство, реконструкция и/или рехабилитация на нови и съществуващи общински пътища, улици и тротоари:</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691B23" w:rsidRDefault="004E655E" w:rsidP="001163C1">
            <w:pPr>
              <w:jc w:val="both"/>
              <w:rPr>
                <w:rFonts w:ascii="Times New Roman" w:hAnsi="Times New Roman" w:cs="Times New Roman"/>
                <w:color w:val="000000"/>
                <w:sz w:val="24"/>
                <w:szCs w:val="24"/>
              </w:rPr>
            </w:pPr>
            <w:r w:rsidRPr="004A24F1">
              <w:rPr>
                <w:rFonts w:ascii="Times New Roman" w:hAnsi="Times New Roman" w:cs="Times New Roman"/>
                <w:color w:val="000000"/>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w:t>
            </w:r>
            <w:r w:rsidRPr="004A24F1">
              <w:rPr>
                <w:rStyle w:val="spelle"/>
                <w:rFonts w:ascii="Times New Roman" w:hAnsi="Times New Roman" w:cs="Times New Roman"/>
                <w:color w:val="000000"/>
                <w:sz w:val="24"/>
                <w:szCs w:val="24"/>
              </w:rPr>
              <w:t>ВиК</w:t>
            </w:r>
            <w:r w:rsidRPr="004A24F1">
              <w:rPr>
                <w:rFonts w:ascii="Times New Roman" w:hAnsi="Times New Roman" w:cs="Times New Roman"/>
                <w:color w:val="000000"/>
                <w:sz w:val="24"/>
                <w:szCs w:val="24"/>
              </w:rPr>
              <w:t xml:space="preserve">) или не се предвижда да се изграждат или реконструират </w:t>
            </w:r>
            <w:r w:rsidRPr="004A24F1">
              <w:rPr>
                <w:rStyle w:val="spelle"/>
                <w:rFonts w:ascii="Times New Roman" w:hAnsi="Times New Roman" w:cs="Times New Roman"/>
                <w:color w:val="000000"/>
                <w:sz w:val="24"/>
                <w:szCs w:val="24"/>
              </w:rPr>
              <w:t>ВиК</w:t>
            </w:r>
            <w:r w:rsidRPr="004A24F1">
              <w:rPr>
                <w:rFonts w:ascii="Times New Roman" w:hAnsi="Times New Roman" w:cs="Times New Roman"/>
                <w:color w:val="000000"/>
                <w:sz w:val="24"/>
                <w:szCs w:val="24"/>
              </w:rPr>
              <w:t xml:space="preserve"> системи за период седем години считано от датата на сключване на административния договор</w:t>
            </w:r>
            <w:r w:rsidRPr="004A24F1">
              <w:rPr>
                <w:rFonts w:ascii="Times New Roman" w:hAnsi="Times New Roman" w:cs="Times New Roman"/>
                <w:color w:val="000000"/>
                <w:sz w:val="24"/>
                <w:szCs w:val="24"/>
                <w:lang w:val="ru-RU"/>
              </w:rPr>
              <w:t>.</w:t>
            </w:r>
            <w:r w:rsidRPr="004A24F1">
              <w:rPr>
                <w:rFonts w:ascii="Times New Roman" w:hAnsi="Times New Roman" w:cs="Times New Roman"/>
                <w:color w:val="000000"/>
                <w:sz w:val="24"/>
                <w:szCs w:val="24"/>
              </w:rPr>
              <w:t>.</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 xml:space="preserve">24.3. Списък със специфични документи за дейността </w:t>
      </w:r>
      <w:r w:rsidRPr="004A24F1">
        <w:rPr>
          <w:rFonts w:ascii="Times New Roman" w:eastAsia="Times New Roman" w:hAnsi="Times New Roman" w:cs="Times New Roman"/>
          <w:b/>
          <w:color w:val="000000"/>
          <w:sz w:val="24"/>
          <w:szCs w:val="24"/>
          <w:lang w:eastAsia="bg-BG"/>
        </w:rPr>
        <w:t>и</w:t>
      </w:r>
      <w:r w:rsidRPr="004A24F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tabs>
                <w:tab w:val="left" w:pos="2175"/>
                <w:tab w:val="left" w:pos="6120"/>
              </w:tabs>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документи.Документите се прилагат само за проекти които включат парк или градина.</w:t>
            </w:r>
          </w:p>
          <w:p w:rsidR="004E655E" w:rsidRPr="004A24F1" w:rsidRDefault="004E655E" w:rsidP="001163C1">
            <w:pPr>
              <w:tabs>
                <w:tab w:val="left" w:pos="2175"/>
              </w:tabs>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color w:val="000000"/>
                <w:sz w:val="24"/>
                <w:szCs w:val="24"/>
                <w:lang w:eastAsia="bg-BG"/>
              </w:rPr>
              <w:t xml:space="preserve">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tabs>
                <w:tab w:val="left" w:pos="2175"/>
              </w:tabs>
              <w:jc w:val="both"/>
              <w:rPr>
                <w:rFonts w:ascii="Times New Roman" w:eastAsia="Times New Roman" w:hAnsi="Times New Roman" w:cs="Times New Roman"/>
                <w:sz w:val="24"/>
                <w:szCs w:val="24"/>
                <w:lang w:eastAsia="bg-BG"/>
              </w:rPr>
            </w:pPr>
            <w:r w:rsidRPr="004A24F1">
              <w:rPr>
                <w:rFonts w:ascii="Times New Roman" w:eastAsia="Times New Roman" w:hAnsi="Times New Roman" w:cs="Times New Roman"/>
                <w:sz w:val="24"/>
                <w:szCs w:val="24"/>
                <w:lang w:eastAsia="bg-BG"/>
              </w:rPr>
              <w:t xml:space="preserve">2. План схема за разполагане на преместваеми обекти и съоръжения </w:t>
            </w:r>
            <w:r w:rsidRPr="004A24F1">
              <w:rPr>
                <w:rFonts w:ascii="Times New Roman" w:eastAsia="Times New Roman" w:hAnsi="Times New Roman" w:cs="Times New Roman"/>
                <w:i/>
                <w:sz w:val="24"/>
                <w:szCs w:val="24"/>
                <w:lang w:eastAsia="bg-BG"/>
              </w:rPr>
              <w:t>(представя се ако има такива обекти)</w:t>
            </w:r>
            <w:r w:rsidRPr="004A24F1">
              <w:rPr>
                <w:rFonts w:ascii="Times New Roman" w:eastAsia="Times New Roman" w:hAnsi="Times New Roman" w:cs="Times New Roman"/>
                <w:sz w:val="24"/>
                <w:szCs w:val="24"/>
                <w:lang w:eastAsia="bg-BG"/>
              </w:rP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24.4. Списък със специфични документи за дейността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 xml:space="preserve">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hyperlink r:id="rId35" w:history="1">
              <w:r w:rsidRPr="004A24F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4A24F1">
              <w:rPr>
                <w:rFonts w:ascii="Times New Roman" w:eastAsia="Times New Roman" w:hAnsi="Times New Roman" w:cs="Times New Roman"/>
                <w:color w:val="000000"/>
                <w:sz w:val="24"/>
                <w:szCs w:val="24"/>
                <w:lang w:val="ru-RU" w:eastAsia="bg-BG"/>
              </w:rPr>
              <w:t>.</w:t>
            </w:r>
            <w:r>
              <w:rPr>
                <w:rFonts w:ascii="Times New Roman" w:eastAsia="Times New Roman" w:hAnsi="Times New Roman" w:cs="Times New Roman"/>
                <w:color w:val="000000"/>
                <w:sz w:val="24"/>
                <w:szCs w:val="24"/>
                <w:lang w:val="ru-RU" w:eastAsia="bg-BG"/>
              </w:rPr>
              <w:t>/</w:t>
            </w:r>
            <w:r w:rsidRPr="00523422">
              <w:rPr>
                <w:rFonts w:ascii="Times New Roman" w:eastAsia="Times New Roman" w:hAnsi="Times New Roman" w:cs="Times New Roman"/>
                <w:color w:val="000000"/>
                <w:sz w:val="24"/>
                <w:szCs w:val="24"/>
                <w:lang w:val="ru-RU" w:eastAsia="bg-BG"/>
              </w:rPr>
              <w:t>.</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24.5. Списък със специфични документи за поддейност реконструкция, ремонт, оборудване и/или обзавеждане на общинска образователна инфраструктура с местно значение в селските райони:</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 xml:space="preserve">1. За </w:t>
            </w:r>
            <w:r w:rsidRPr="004A24F1">
              <w:rPr>
                <w:rFonts w:ascii="Times New Roman" w:eastAsia="Times New Roman" w:hAnsi="Times New Roman" w:cs="Times New Roman"/>
                <w:color w:val="000000"/>
                <w:sz w:val="24"/>
                <w:szCs w:val="24"/>
                <w:lang w:eastAsia="bg-BG"/>
              </w:rPr>
              <w:t>основно общинско училище или средното общинско училище:</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r w:rsidRPr="00523422">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 xml:space="preserve">2. За </w:t>
            </w:r>
            <w:r w:rsidRPr="004A24F1">
              <w:rPr>
                <w:rFonts w:ascii="Times New Roman" w:eastAsia="Times New Roman" w:hAnsi="Times New Roman" w:cs="Times New Roman"/>
                <w:color w:val="000000"/>
                <w:sz w:val="24"/>
                <w:szCs w:val="24"/>
                <w:lang w:eastAsia="bg-BG"/>
              </w:rPr>
              <w:t xml:space="preserve">професионалните гимназии </w:t>
            </w:r>
            <w:r w:rsidRPr="004A24F1">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E655E" w:rsidRPr="004A24F1" w:rsidRDefault="004E655E" w:rsidP="001163C1">
            <w:pPr>
              <w:jc w:val="both"/>
              <w:rPr>
                <w:rFonts w:ascii="Times New Roman" w:eastAsia="Times New Roman" w:hAnsi="Times New Roman" w:cs="Times New Roman"/>
                <w:i/>
                <w:color w:val="000000"/>
                <w:sz w:val="24"/>
                <w:szCs w:val="24"/>
                <w:lang w:eastAsia="bg-BG"/>
              </w:rPr>
            </w:pPr>
            <w:r w:rsidRPr="004A24F1">
              <w:rPr>
                <w:rFonts w:ascii="Times New Roman" w:hAnsi="Times New Roman" w:cs="Times New Roman"/>
                <w:sz w:val="24"/>
                <w:szCs w:val="24"/>
              </w:rPr>
              <w:t>Копие на решение на Министерски съвет за безвъзмездното прехвърляне на собствеността на съответната община</w:t>
            </w:r>
            <w:r w:rsidRPr="00523422">
              <w:rPr>
                <w:rFonts w:ascii="Times New Roman" w:hAnsi="Times New Roman" w:cs="Times New Roman"/>
                <w:sz w:val="24"/>
                <w:szCs w:val="24"/>
              </w:rPr>
              <w:t>.</w:t>
            </w:r>
            <w:r>
              <w:t xml:space="preserve"> </w:t>
            </w:r>
            <w:r w:rsidRPr="00523422">
              <w:rPr>
                <w:rFonts w:ascii="Times New Roman" w:hAnsi="Times New Roman" w:cs="Times New Roman"/>
                <w:sz w:val="24"/>
                <w:szCs w:val="24"/>
              </w:rPr>
              <w:t>Представя се във формат „pdf“ или „jpg”.</w:t>
            </w:r>
            <w:r w:rsidRPr="004A24F1">
              <w:rPr>
                <w:rFonts w:ascii="Times New Roman" w:eastAsia="Times New Roman" w:hAnsi="Times New Roman" w:cs="Times New Roman"/>
                <w:i/>
                <w:color w:val="000000"/>
                <w:sz w:val="24"/>
                <w:szCs w:val="24"/>
                <w:lang w:eastAsia="bg-BG"/>
              </w:rPr>
              <w:t xml:space="preserve"> </w:t>
            </w:r>
          </w:p>
          <w:p w:rsidR="004E655E" w:rsidRPr="004A24F1" w:rsidRDefault="004E655E" w:rsidP="001163C1">
            <w:pPr>
              <w:jc w:val="both"/>
              <w:rPr>
                <w:rFonts w:ascii="Times New Roman" w:hAnsi="Times New Roman" w:cs="Times New Roman"/>
                <w:sz w:val="24"/>
                <w:szCs w:val="24"/>
                <w:lang w:val="ru-RU"/>
              </w:rPr>
            </w:pPr>
            <w:r w:rsidRPr="004A24F1">
              <w:rPr>
                <w:rFonts w:ascii="Times New Roman" w:eastAsia="Times New Roman" w:hAnsi="Times New Roman" w:cs="Times New Roman"/>
                <w:i/>
                <w:color w:val="000000"/>
                <w:sz w:val="24"/>
                <w:szCs w:val="24"/>
                <w:lang w:eastAsia="bg-BG"/>
              </w:rPr>
              <w:t>3.</w:t>
            </w:r>
            <w:r w:rsidRPr="004A24F1">
              <w:rPr>
                <w:rFonts w:ascii="Times New Roman" w:eastAsia="Times New Roman" w:hAnsi="Times New Roman" w:cs="Times New Roman"/>
                <w:color w:val="000000"/>
                <w:sz w:val="24"/>
                <w:szCs w:val="24"/>
                <w:lang w:eastAsia="bg-BG"/>
              </w:rPr>
              <w:t xml:space="preserve"> Заповед на кмета на общината и решение на общинския съвет за откриване, </w:t>
            </w:r>
            <w:r w:rsidRPr="004A24F1">
              <w:rPr>
                <w:rFonts w:ascii="Times New Roman" w:eastAsia="Times New Roman" w:hAnsi="Times New Roman" w:cs="Times New Roman"/>
                <w:color w:val="000000"/>
                <w:sz w:val="24"/>
                <w:szCs w:val="24"/>
                <w:lang w:eastAsia="bg-BG"/>
              </w:rPr>
              <w:lastRenderedPageBreak/>
              <w:t>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r w:rsidRPr="004A24F1">
              <w:rPr>
                <w:rFonts w:ascii="Times New Roman" w:eastAsia="Times New Roman" w:hAnsi="Times New Roman" w:cs="Times New Roman"/>
                <w:i/>
                <w:color w:val="000000"/>
                <w:sz w:val="24"/>
                <w:szCs w:val="24"/>
                <w:lang w:eastAsia="bg-BG"/>
              </w:rP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eastAsia="Times New Roman" w:hAnsi="Times New Roman" w:cs="Times New Roman"/>
                <w:color w:val="000000"/>
                <w:sz w:val="24"/>
                <w:szCs w:val="24"/>
                <w:lang w:eastAsia="bg-BG"/>
              </w:rPr>
            </w:pPr>
            <w:r w:rsidRPr="004A24F1">
              <w:rPr>
                <w:rFonts w:ascii="Times New Roman" w:eastAsia="Times New Roman" w:hAnsi="Times New Roman" w:cs="Times New Roman"/>
                <w:color w:val="000000"/>
                <w:sz w:val="24"/>
                <w:szCs w:val="24"/>
                <w:lang w:eastAsia="bg-BG"/>
              </w:rPr>
              <w:t>4.Заповед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r>
              <w:t xml:space="preserve"> </w:t>
            </w:r>
            <w:r w:rsidRPr="004A24F1">
              <w:rPr>
                <w:rFonts w:ascii="Times New Roman" w:hAnsi="Times New Roman" w:cs="Times New Roman"/>
                <w:sz w:val="24"/>
                <w:szCs w:val="24"/>
              </w:rPr>
              <w:t>Представя се във формат „pdf“ или „</w:t>
            </w:r>
            <w:r w:rsidRPr="004A24F1">
              <w:rPr>
                <w:rFonts w:ascii="Times New Roman" w:hAnsi="Times New Roman" w:cs="Times New Roman"/>
                <w:sz w:val="24"/>
                <w:szCs w:val="24"/>
                <w:lang w:val="en-US"/>
              </w:rPr>
              <w:t>jpg</w:t>
            </w:r>
            <w:r w:rsidRPr="004A24F1">
              <w:rPr>
                <w:rFonts w:ascii="Times New Roman" w:hAnsi="Times New Roman" w:cs="Times New Roman"/>
                <w:sz w:val="24"/>
                <w:szCs w:val="24"/>
                <w:lang w:val="ru-RU"/>
              </w:rPr>
              <w:t>”.</w:t>
            </w:r>
          </w:p>
          <w:p w:rsidR="004E655E" w:rsidRPr="004A24F1" w:rsidRDefault="004E655E" w:rsidP="001163C1">
            <w:pPr>
              <w:jc w:val="both"/>
              <w:rPr>
                <w:rFonts w:ascii="Times New Roman" w:hAnsi="Times New Roman" w:cs="Times New Roman"/>
                <w:sz w:val="24"/>
                <w:szCs w:val="24"/>
              </w:rPr>
            </w:pPr>
          </w:p>
        </w:tc>
      </w:tr>
    </w:tbl>
    <w:p w:rsidR="004E655E" w:rsidRDefault="004E655E" w:rsidP="004E655E">
      <w:pPr>
        <w:jc w:val="both"/>
        <w:rPr>
          <w:rFonts w:ascii="Times New Roman" w:hAnsi="Times New Roman" w:cs="Times New Roman"/>
          <w:b/>
        </w:rPr>
      </w:pPr>
    </w:p>
    <w:p w:rsidR="004E655E" w:rsidRPr="004A24F1" w:rsidRDefault="004E655E" w:rsidP="004E655E">
      <w:pPr>
        <w:jc w:val="both"/>
        <w:rPr>
          <w:rFonts w:ascii="Times New Roman" w:hAnsi="Times New Roman" w:cs="Times New Roman"/>
          <w:b/>
          <w:sz w:val="24"/>
          <w:szCs w:val="24"/>
        </w:rPr>
      </w:pPr>
      <w:r w:rsidRPr="004A24F1">
        <w:rPr>
          <w:rFonts w:ascii="Times New Roman" w:hAnsi="Times New Roman" w:cs="Times New Roman"/>
          <w:b/>
          <w:sz w:val="24"/>
          <w:szCs w:val="24"/>
        </w:rPr>
        <w:t>24.6.За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tbl>
      <w:tblPr>
        <w:tblStyle w:val="a9"/>
        <w:tblW w:w="0" w:type="auto"/>
        <w:tblLook w:val="04A0" w:firstRow="1" w:lastRow="0" w:firstColumn="1" w:lastColumn="0" w:noHBand="0" w:noVBand="1"/>
      </w:tblPr>
      <w:tblGrid>
        <w:gridCol w:w="9212"/>
      </w:tblGrid>
      <w:tr w:rsidR="004E655E" w:rsidRPr="004A24F1" w:rsidTr="001163C1">
        <w:tc>
          <w:tcPr>
            <w:tcW w:w="9212" w:type="dxa"/>
          </w:tcPr>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b/>
                <w:sz w:val="24"/>
                <w:szCs w:val="24"/>
              </w:rPr>
              <w:t>1.</w:t>
            </w:r>
            <w:r w:rsidRPr="004A24F1">
              <w:rPr>
                <w:rFonts w:ascii="Times New Roman" w:hAnsi="Times New Roman" w:cs="Times New Roman"/>
                <w:sz w:val="24"/>
                <w:szCs w:val="24"/>
              </w:rPr>
              <w:t>Обосновка за необходимостта от съответната социална услуга.</w:t>
            </w:r>
            <w:r>
              <w:t xml:space="preserve"> </w:t>
            </w:r>
            <w:r w:rsidRPr="00095EC4">
              <w:rPr>
                <w:rFonts w:ascii="Times New Roman" w:hAnsi="Times New Roman" w:cs="Times New Roman"/>
                <w:sz w:val="24"/>
                <w:szCs w:val="24"/>
              </w:rPr>
              <w:t>Представя се във формат „pdf“ или „jpg”.</w:t>
            </w:r>
          </w:p>
          <w:p w:rsidR="004E655E" w:rsidRPr="004A24F1" w:rsidRDefault="004E655E" w:rsidP="001163C1">
            <w:pPr>
              <w:jc w:val="both"/>
              <w:rPr>
                <w:rFonts w:ascii="Times New Roman" w:hAnsi="Times New Roman" w:cs="Times New Roman"/>
                <w:sz w:val="24"/>
                <w:szCs w:val="24"/>
              </w:rPr>
            </w:pPr>
            <w:r w:rsidRPr="004A24F1">
              <w:rPr>
                <w:rFonts w:ascii="Times New Roman" w:hAnsi="Times New Roman" w:cs="Times New Roman"/>
                <w:sz w:val="24"/>
                <w:szCs w:val="24"/>
              </w:rPr>
              <w:t>2.Положително становище от Министерство на труда и социалната политика по предложение на Агенцията за социално подпомагане за необходимостта , целесъобразността  и спазването на изискванията по чл.21, т.3 за социалните услуги които ще се разкрият.</w:t>
            </w:r>
            <w:r>
              <w:t xml:space="preserve"> </w:t>
            </w:r>
            <w:r w:rsidRPr="00095EC4">
              <w:rPr>
                <w:rFonts w:ascii="Times New Roman" w:hAnsi="Times New Roman" w:cs="Times New Roman"/>
                <w:sz w:val="24"/>
                <w:szCs w:val="24"/>
              </w:rPr>
              <w:t>Представя се във формат „pdf“ или „jpg”.</w:t>
            </w:r>
          </w:p>
          <w:p w:rsidR="004E655E" w:rsidRPr="004A24F1" w:rsidRDefault="004E655E" w:rsidP="001163C1">
            <w:pPr>
              <w:jc w:val="both"/>
              <w:rPr>
                <w:rFonts w:ascii="Times New Roman" w:hAnsi="Times New Roman" w:cs="Times New Roman"/>
                <w:sz w:val="24"/>
                <w:szCs w:val="24"/>
              </w:rPr>
            </w:pPr>
            <w:r w:rsidRPr="008D63B8">
              <w:rPr>
                <w:rFonts w:ascii="Times New Roman" w:hAnsi="Times New Roman" w:cs="Times New Roman"/>
                <w:sz w:val="24"/>
                <w:szCs w:val="24"/>
                <w:lang w:val="ru-RU"/>
              </w:rPr>
              <w:t>3</w:t>
            </w:r>
            <w:r w:rsidRPr="004A24F1">
              <w:rPr>
                <w:rFonts w:ascii="Times New Roman" w:hAnsi="Times New Roman" w:cs="Times New Roman"/>
                <w:sz w:val="24"/>
                <w:szCs w:val="24"/>
              </w:rPr>
              <w:t>.Положително становище  от Агенция за социално подпомагане за бъдещото финансиране на социалните услуги като държавно делигирана дейност</w:t>
            </w:r>
            <w:r>
              <w:t xml:space="preserve"> </w:t>
            </w:r>
            <w:r w:rsidRPr="00095EC4">
              <w:rPr>
                <w:rFonts w:ascii="Times New Roman" w:hAnsi="Times New Roman" w:cs="Times New Roman"/>
                <w:sz w:val="24"/>
                <w:szCs w:val="24"/>
              </w:rPr>
              <w:t>Представя се във формат „pdf“ или „jpg”.</w:t>
            </w:r>
          </w:p>
        </w:tc>
      </w:tr>
    </w:tbl>
    <w:p w:rsidR="004E655E" w:rsidRPr="0089633B" w:rsidRDefault="004E655E" w:rsidP="004E655E">
      <w:pPr>
        <w:pStyle w:val="1"/>
        <w:rPr>
          <w:szCs w:val="24"/>
        </w:rPr>
      </w:pPr>
      <w:bookmarkStart w:id="33" w:name="_Toc505614668"/>
      <w:r w:rsidRPr="0089633B">
        <w:rPr>
          <w:szCs w:val="24"/>
        </w:rPr>
        <w:t>25. Краен срок за подаване на проектните предложения:</w:t>
      </w:r>
      <w:bookmarkEnd w:id="33"/>
    </w:p>
    <w:tbl>
      <w:tblPr>
        <w:tblStyle w:val="a9"/>
        <w:tblW w:w="0" w:type="auto"/>
        <w:tblLook w:val="04A0" w:firstRow="1" w:lastRow="0" w:firstColumn="1" w:lastColumn="0" w:noHBand="0" w:noVBand="1"/>
      </w:tblPr>
      <w:tblGrid>
        <w:gridCol w:w="9212"/>
      </w:tblGrid>
      <w:tr w:rsidR="004E655E" w:rsidRPr="00512FF4" w:rsidTr="001163C1">
        <w:tc>
          <w:tcPr>
            <w:tcW w:w="9212" w:type="dxa"/>
          </w:tcPr>
          <w:p w:rsidR="004E655E" w:rsidRPr="00DF7C6C" w:rsidRDefault="004E655E" w:rsidP="001163C1">
            <w:pPr>
              <w:jc w:val="both"/>
              <w:rPr>
                <w:rFonts w:ascii="Times New Roman" w:hAnsi="Times New Roman" w:cs="Times New Roman"/>
                <w:sz w:val="24"/>
                <w:szCs w:val="24"/>
              </w:rPr>
            </w:pPr>
            <w:r w:rsidRPr="00DF7C6C">
              <w:rPr>
                <w:rFonts w:ascii="Times New Roman" w:hAnsi="Times New Roman" w:cs="Times New Roman"/>
                <w:sz w:val="24"/>
                <w:szCs w:val="24"/>
              </w:rPr>
              <w:t xml:space="preserve">Процедурата се обявява с два крайни срока за кандидатстване, но втори прием ще има само в случай, че има наличен финансов ресурс след първия прием. </w:t>
            </w:r>
          </w:p>
          <w:p w:rsidR="004E655E" w:rsidRPr="00FD4ADE" w:rsidRDefault="004E655E" w:rsidP="001163C1">
            <w:pPr>
              <w:jc w:val="both"/>
              <w:rPr>
                <w:rFonts w:ascii="Times New Roman" w:hAnsi="Times New Roman" w:cs="Times New Roman"/>
                <w:sz w:val="24"/>
                <w:szCs w:val="24"/>
              </w:rPr>
            </w:pPr>
            <w:r w:rsidRPr="00FD4ADE">
              <w:rPr>
                <w:rFonts w:ascii="Times New Roman" w:hAnsi="Times New Roman" w:cs="Times New Roman"/>
                <w:sz w:val="24"/>
                <w:szCs w:val="24"/>
              </w:rPr>
              <w:t>Първият</w:t>
            </w:r>
            <w:r w:rsidRPr="008D63B8">
              <w:rPr>
                <w:rFonts w:ascii="Times New Roman" w:hAnsi="Times New Roman" w:cs="Times New Roman"/>
                <w:sz w:val="24"/>
                <w:szCs w:val="24"/>
                <w:lang w:val="ru-RU"/>
              </w:rPr>
              <w:t xml:space="preserve"> </w:t>
            </w:r>
            <w:r w:rsidRPr="00FD4ADE">
              <w:rPr>
                <w:rFonts w:ascii="Times New Roman" w:hAnsi="Times New Roman" w:cs="Times New Roman"/>
                <w:sz w:val="24"/>
                <w:szCs w:val="24"/>
              </w:rPr>
              <w:t xml:space="preserve">период за прием е с начален срок </w:t>
            </w:r>
            <w:r>
              <w:rPr>
                <w:rFonts w:ascii="Times New Roman" w:hAnsi="Times New Roman" w:cs="Times New Roman"/>
                <w:sz w:val="24"/>
                <w:szCs w:val="24"/>
              </w:rPr>
              <w:t>1</w:t>
            </w:r>
            <w:r w:rsidRPr="009421F3">
              <w:rPr>
                <w:rFonts w:ascii="Times New Roman" w:hAnsi="Times New Roman" w:cs="Times New Roman"/>
                <w:sz w:val="24"/>
                <w:szCs w:val="24"/>
              </w:rPr>
              <w:t>2.1</w:t>
            </w:r>
            <w:r>
              <w:rPr>
                <w:rFonts w:ascii="Times New Roman" w:hAnsi="Times New Roman" w:cs="Times New Roman"/>
                <w:sz w:val="24"/>
                <w:szCs w:val="24"/>
              </w:rPr>
              <w:t>1</w:t>
            </w:r>
            <w:r w:rsidRPr="009421F3">
              <w:rPr>
                <w:rFonts w:ascii="Times New Roman" w:hAnsi="Times New Roman" w:cs="Times New Roman"/>
                <w:sz w:val="24"/>
                <w:szCs w:val="24"/>
              </w:rPr>
              <w:t>.2018 г.,</w:t>
            </w:r>
            <w:r w:rsidRPr="00FD4ADE">
              <w:rPr>
                <w:rFonts w:ascii="Times New Roman" w:hAnsi="Times New Roman" w:cs="Times New Roman"/>
                <w:sz w:val="24"/>
                <w:szCs w:val="24"/>
              </w:rPr>
              <w:t xml:space="preserve"> а крайният срок за подаване на проектните предложения е </w:t>
            </w:r>
            <w:r w:rsidR="00880661">
              <w:rPr>
                <w:rFonts w:ascii="Times New Roman" w:hAnsi="Times New Roman" w:cs="Times New Roman"/>
                <w:sz w:val="24"/>
                <w:szCs w:val="24"/>
              </w:rPr>
              <w:t>31</w:t>
            </w:r>
            <w:bookmarkStart w:id="34" w:name="_GoBack"/>
            <w:bookmarkEnd w:id="34"/>
            <w:r w:rsidRPr="009421F3">
              <w:rPr>
                <w:rFonts w:ascii="Times New Roman" w:hAnsi="Times New Roman" w:cs="Times New Roman"/>
                <w:sz w:val="24"/>
                <w:szCs w:val="24"/>
              </w:rPr>
              <w:t>.</w:t>
            </w:r>
            <w:r>
              <w:rPr>
                <w:rFonts w:ascii="Times New Roman" w:hAnsi="Times New Roman" w:cs="Times New Roman"/>
                <w:sz w:val="24"/>
                <w:szCs w:val="24"/>
              </w:rPr>
              <w:t>01</w:t>
            </w:r>
            <w:r w:rsidRPr="009421F3">
              <w:rPr>
                <w:rFonts w:ascii="Times New Roman" w:hAnsi="Times New Roman" w:cs="Times New Roman"/>
                <w:sz w:val="24"/>
                <w:szCs w:val="24"/>
              </w:rPr>
              <w:t>.201</w:t>
            </w:r>
            <w:r>
              <w:rPr>
                <w:rFonts w:ascii="Times New Roman" w:hAnsi="Times New Roman" w:cs="Times New Roman"/>
                <w:sz w:val="24"/>
                <w:szCs w:val="24"/>
              </w:rPr>
              <w:t>9</w:t>
            </w:r>
            <w:r w:rsidRPr="009421F3">
              <w:rPr>
                <w:rFonts w:ascii="Times New Roman" w:hAnsi="Times New Roman" w:cs="Times New Roman"/>
                <w:sz w:val="24"/>
                <w:szCs w:val="24"/>
              </w:rPr>
              <w:t xml:space="preserve"> г., </w:t>
            </w:r>
            <w:r>
              <w:rPr>
                <w:rFonts w:ascii="Times New Roman" w:hAnsi="Times New Roman" w:cs="Times New Roman"/>
                <w:sz w:val="24"/>
                <w:szCs w:val="24"/>
              </w:rPr>
              <w:t>17:0</w:t>
            </w:r>
            <w:r w:rsidRPr="009421F3">
              <w:rPr>
                <w:rFonts w:ascii="Times New Roman" w:hAnsi="Times New Roman" w:cs="Times New Roman"/>
                <w:sz w:val="24"/>
                <w:szCs w:val="24"/>
              </w:rPr>
              <w:t>0</w:t>
            </w:r>
            <w:r w:rsidRPr="00FD4ADE">
              <w:rPr>
                <w:rFonts w:ascii="Times New Roman" w:hAnsi="Times New Roman" w:cs="Times New Roman"/>
                <w:sz w:val="24"/>
                <w:szCs w:val="24"/>
              </w:rPr>
              <w:t xml:space="preserve"> часа.</w:t>
            </w:r>
          </w:p>
          <w:p w:rsidR="004E655E" w:rsidRPr="00FD4ADE" w:rsidRDefault="004E655E" w:rsidP="001163C1">
            <w:pPr>
              <w:spacing w:before="120" w:after="120"/>
              <w:jc w:val="both"/>
              <w:rPr>
                <w:rFonts w:ascii="Times New Roman" w:hAnsi="Times New Roman" w:cs="Times New Roman"/>
                <w:sz w:val="24"/>
                <w:szCs w:val="24"/>
              </w:rPr>
            </w:pPr>
            <w:r w:rsidRPr="00FD4ADE">
              <w:rPr>
                <w:rFonts w:ascii="Times New Roman" w:hAnsi="Times New Roman" w:cs="Times New Roman"/>
                <w:sz w:val="24"/>
                <w:szCs w:val="24"/>
              </w:rPr>
              <w:t xml:space="preserve">Вторият период за прием е с начален срок </w:t>
            </w:r>
            <w:r w:rsidRPr="009421F3">
              <w:rPr>
                <w:rFonts w:ascii="Times New Roman" w:hAnsi="Times New Roman" w:cs="Times New Roman"/>
                <w:sz w:val="24"/>
                <w:szCs w:val="24"/>
              </w:rPr>
              <w:t>25.03.2019 г</w:t>
            </w:r>
            <w:r w:rsidRPr="00FD4ADE">
              <w:rPr>
                <w:rFonts w:ascii="Times New Roman" w:hAnsi="Times New Roman" w:cs="Times New Roman"/>
                <w:sz w:val="24"/>
                <w:szCs w:val="24"/>
              </w:rPr>
              <w:t xml:space="preserve">., а крайният срок за подаване на </w:t>
            </w:r>
            <w:r w:rsidRPr="00FD4ADE">
              <w:rPr>
                <w:rFonts w:ascii="Times New Roman" w:hAnsi="Times New Roman" w:cs="Times New Roman"/>
                <w:sz w:val="24"/>
                <w:szCs w:val="24"/>
              </w:rPr>
              <w:lastRenderedPageBreak/>
              <w:t xml:space="preserve">проектните предложения  е </w:t>
            </w:r>
            <w:r w:rsidRPr="009421F3">
              <w:rPr>
                <w:rFonts w:ascii="Times New Roman" w:hAnsi="Times New Roman" w:cs="Times New Roman"/>
                <w:sz w:val="24"/>
                <w:szCs w:val="24"/>
              </w:rPr>
              <w:t>29.04</w:t>
            </w:r>
            <w:r>
              <w:rPr>
                <w:rFonts w:ascii="Times New Roman" w:hAnsi="Times New Roman" w:cs="Times New Roman"/>
                <w:sz w:val="24"/>
                <w:szCs w:val="24"/>
              </w:rPr>
              <w:t>.2019</w:t>
            </w:r>
            <w:r w:rsidRPr="009421F3">
              <w:rPr>
                <w:rFonts w:ascii="Times New Roman" w:hAnsi="Times New Roman" w:cs="Times New Roman"/>
                <w:sz w:val="24"/>
                <w:szCs w:val="24"/>
              </w:rPr>
              <w:t xml:space="preserve"> г., 17:00</w:t>
            </w:r>
            <w:r w:rsidRPr="00FD4ADE">
              <w:rPr>
                <w:rFonts w:ascii="Times New Roman" w:hAnsi="Times New Roman" w:cs="Times New Roman"/>
                <w:sz w:val="24"/>
                <w:szCs w:val="24"/>
              </w:rPr>
              <w:t xml:space="preserve"> часа.</w:t>
            </w:r>
          </w:p>
          <w:p w:rsidR="004E655E" w:rsidRPr="00187C11" w:rsidRDefault="004E655E" w:rsidP="001163C1">
            <w:pPr>
              <w:jc w:val="both"/>
              <w:rPr>
                <w:rFonts w:ascii="Times New Roman" w:hAnsi="Times New Roman" w:cs="Times New Roman"/>
              </w:rPr>
            </w:pPr>
            <w:r w:rsidRPr="00C172C9">
              <w:rPr>
                <w:rFonts w:ascii="Times New Roman" w:hAnsi="Times New Roman" w:cs="Times New Roman"/>
                <w:sz w:val="24"/>
                <w:szCs w:val="24"/>
              </w:rPr>
              <w:t>В рамките на настоящата процедура кандидатите могат да подадат няколко проектни предложения при съобразяване на изискванията по т. 9 от настоящите Условия за кандидатстване.</w:t>
            </w:r>
          </w:p>
        </w:tc>
      </w:tr>
    </w:tbl>
    <w:p w:rsidR="004E655E" w:rsidRPr="0089633B" w:rsidRDefault="004E655E" w:rsidP="004E655E">
      <w:pPr>
        <w:pStyle w:val="1"/>
        <w:jc w:val="both"/>
        <w:rPr>
          <w:szCs w:val="24"/>
        </w:rPr>
      </w:pPr>
      <w:bookmarkStart w:id="35" w:name="_Toc505614669"/>
      <w:r w:rsidRPr="0089633B">
        <w:rPr>
          <w:szCs w:val="24"/>
        </w:rPr>
        <w:lastRenderedPageBreak/>
        <w:t>26. Адрес за подаване на проектните предложения:</w:t>
      </w:r>
      <w:bookmarkEnd w:id="35"/>
    </w:p>
    <w:tbl>
      <w:tblPr>
        <w:tblStyle w:val="a9"/>
        <w:tblW w:w="0" w:type="auto"/>
        <w:tblLook w:val="04A0" w:firstRow="1" w:lastRow="0" w:firstColumn="1" w:lastColumn="0" w:noHBand="0" w:noVBand="1"/>
      </w:tblPr>
      <w:tblGrid>
        <w:gridCol w:w="9212"/>
      </w:tblGrid>
      <w:tr w:rsidR="004E655E" w:rsidRPr="0089633B" w:rsidTr="001163C1">
        <w:tc>
          <w:tcPr>
            <w:tcW w:w="9212" w:type="dxa"/>
          </w:tcPr>
          <w:p w:rsidR="004E655E" w:rsidRPr="0089633B" w:rsidRDefault="004E655E" w:rsidP="001163C1">
            <w:pPr>
              <w:jc w:val="both"/>
              <w:rPr>
                <w:sz w:val="24"/>
                <w:szCs w:val="24"/>
              </w:rPr>
            </w:pPr>
            <w:r w:rsidRPr="0089633B">
              <w:rPr>
                <w:rFonts w:ascii="Times New Roman" w:hAnsi="Times New Roman" w:cs="Times New Roman"/>
                <w:sz w:val="24"/>
                <w:szCs w:val="24"/>
              </w:rPr>
              <w:t>Проектните предложения по настоящата процедура се подават  изцяло по електронен път чрез ИСУН 2020 на следния интернет адрес: https://eumis2020.government.bg.</w:t>
            </w:r>
          </w:p>
        </w:tc>
      </w:tr>
    </w:tbl>
    <w:p w:rsidR="004E655E" w:rsidRPr="0089633B" w:rsidRDefault="004E655E" w:rsidP="004E655E">
      <w:pPr>
        <w:pStyle w:val="1"/>
        <w:jc w:val="both"/>
        <w:rPr>
          <w:rFonts w:cs="Times New Roman"/>
          <w:szCs w:val="24"/>
        </w:rPr>
      </w:pPr>
      <w:bookmarkStart w:id="36" w:name="_Toc505614670"/>
      <w:r w:rsidRPr="0089633B">
        <w:rPr>
          <w:rFonts w:cs="Times New Roman"/>
          <w:szCs w:val="24"/>
        </w:rPr>
        <w:t>27. Допълнителна информация:</w:t>
      </w:r>
      <w:bookmarkEnd w:id="36"/>
    </w:p>
    <w:tbl>
      <w:tblPr>
        <w:tblStyle w:val="a9"/>
        <w:tblW w:w="0" w:type="auto"/>
        <w:tblLook w:val="04A0" w:firstRow="1" w:lastRow="0" w:firstColumn="1" w:lastColumn="0" w:noHBand="0" w:noVBand="1"/>
      </w:tblPr>
      <w:tblGrid>
        <w:gridCol w:w="9212"/>
      </w:tblGrid>
      <w:tr w:rsidR="004E655E" w:rsidRPr="0089633B" w:rsidTr="001163C1">
        <w:tc>
          <w:tcPr>
            <w:tcW w:w="9212" w:type="dxa"/>
          </w:tcPr>
          <w:p w:rsidR="004E655E" w:rsidRPr="0089633B" w:rsidRDefault="004E655E" w:rsidP="001163C1">
            <w:pPr>
              <w:jc w:val="both"/>
              <w:rPr>
                <w:rFonts w:ascii="Times New Roman" w:hAnsi="Times New Roman" w:cs="Times New Roman"/>
                <w:sz w:val="24"/>
                <w:szCs w:val="24"/>
              </w:rPr>
            </w:pPr>
            <w:r w:rsidRPr="0089633B">
              <w:rPr>
                <w:rFonts w:ascii="Times New Roman" w:hAnsi="Times New Roman" w:cs="Times New Roman"/>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4E655E" w:rsidRPr="0089633B" w:rsidRDefault="004E655E" w:rsidP="001163C1">
            <w:pPr>
              <w:jc w:val="both"/>
              <w:rPr>
                <w:rFonts w:ascii="Times New Roman" w:hAnsi="Times New Roman" w:cs="Times New Roman"/>
                <w:sz w:val="24"/>
                <w:szCs w:val="24"/>
              </w:rPr>
            </w:pPr>
            <w:r w:rsidRPr="0089633B">
              <w:rPr>
                <w:rFonts w:ascii="Times New Roman" w:hAnsi="Times New Roman" w:cs="Times New Roman"/>
                <w:sz w:val="24"/>
                <w:szCs w:val="24"/>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p>
        </w:tc>
      </w:tr>
    </w:tbl>
    <w:p w:rsidR="004E655E" w:rsidRDefault="004E655E" w:rsidP="004E655E">
      <w:pPr>
        <w:pStyle w:val="1"/>
        <w:jc w:val="both"/>
        <w:rPr>
          <w:rFonts w:cs="Times New Roman"/>
          <w:szCs w:val="24"/>
        </w:rPr>
      </w:pPr>
      <w:bookmarkStart w:id="37" w:name="_Toc505614671"/>
      <w:r w:rsidRPr="0089633B">
        <w:rPr>
          <w:rFonts w:cs="Times New Roman"/>
          <w:szCs w:val="24"/>
        </w:rPr>
        <w:t>27.1. Процедура за уведомяване на неодобрени и одобрени кандидати от МИГ и сключване на административни договори за предоставяне на безвъзмездна финансова помощ:</w:t>
      </w:r>
      <w:bookmarkEnd w:id="37"/>
    </w:p>
    <w:p w:rsidR="004E655E" w:rsidRPr="0089633B" w:rsidRDefault="004E655E" w:rsidP="004E655E"/>
    <w:tbl>
      <w:tblPr>
        <w:tblStyle w:val="a9"/>
        <w:tblW w:w="0" w:type="auto"/>
        <w:tblLook w:val="04A0" w:firstRow="1" w:lastRow="0" w:firstColumn="1" w:lastColumn="0" w:noHBand="0" w:noVBand="1"/>
      </w:tblPr>
      <w:tblGrid>
        <w:gridCol w:w="9212"/>
      </w:tblGrid>
      <w:tr w:rsidR="004E655E" w:rsidRPr="0089633B" w:rsidTr="001163C1">
        <w:tc>
          <w:tcPr>
            <w:tcW w:w="9212" w:type="dxa"/>
          </w:tcPr>
          <w:p w:rsidR="004E655E" w:rsidRPr="0089633B" w:rsidRDefault="004E655E" w:rsidP="001163C1">
            <w:pPr>
              <w:rPr>
                <w:rFonts w:ascii="Times New Roman" w:hAnsi="Times New Roman" w:cs="Times New Roman"/>
                <w:sz w:val="24"/>
                <w:szCs w:val="24"/>
              </w:rPr>
            </w:pPr>
            <w:r w:rsidRPr="0089633B">
              <w:rPr>
                <w:rFonts w:ascii="Times New Roman" w:hAnsi="Times New Roman" w:cs="Times New Roman"/>
                <w:b/>
                <w:sz w:val="24"/>
                <w:szCs w:val="24"/>
              </w:rPr>
              <w:t>1.</w:t>
            </w:r>
            <w:r w:rsidRPr="0089633B">
              <w:rPr>
                <w:rFonts w:ascii="Times New Roman" w:hAnsi="Times New Roman" w:cs="Times New Roman"/>
                <w:color w:val="FF0000"/>
                <w:sz w:val="24"/>
                <w:szCs w:val="24"/>
              </w:rPr>
              <w:t xml:space="preserve"> </w:t>
            </w:r>
            <w:r w:rsidRPr="0089633B">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89633B">
              <w:rPr>
                <w:rFonts w:ascii="Times New Roman" w:hAnsi="Times New Roman" w:cs="Times New Roman"/>
                <w:b/>
                <w:sz w:val="24"/>
                <w:szCs w:val="24"/>
              </w:rPr>
              <w:t>до 5 работни дни</w:t>
            </w:r>
            <w:r w:rsidRPr="0089633B">
              <w:rPr>
                <w:rFonts w:ascii="Times New Roman" w:hAnsi="Times New Roman" w:cs="Times New Roman"/>
                <w:sz w:val="24"/>
                <w:szCs w:val="24"/>
              </w:rPr>
              <w:t xml:space="preserve"> от одобряването на оценителния доклад от Управителния съвет на МИГ.  </w:t>
            </w:r>
          </w:p>
          <w:p w:rsidR="004E655E" w:rsidRPr="0089633B" w:rsidRDefault="004E655E" w:rsidP="001163C1">
            <w:pPr>
              <w:rPr>
                <w:rFonts w:ascii="Times New Roman" w:hAnsi="Times New Roman" w:cs="Times New Roman"/>
                <w:sz w:val="24"/>
                <w:szCs w:val="24"/>
                <w:lang w:val="ru-RU"/>
              </w:rPr>
            </w:pPr>
            <w:r w:rsidRPr="0089633B">
              <w:rPr>
                <w:rFonts w:ascii="Times New Roman" w:hAnsi="Times New Roman" w:cs="Times New Roman"/>
                <w:sz w:val="24"/>
                <w:szCs w:val="24"/>
              </w:rPr>
              <w:t xml:space="preserve">2.Всеки кандидат, получил уведомително писмо от МИГ Чирпан, че проектното му предложение не е одобрено или че е частично одобрено, има право да възрази пред ДФЗ в срок </w:t>
            </w:r>
            <w:r w:rsidRPr="0089633B">
              <w:rPr>
                <w:rFonts w:ascii="Times New Roman" w:hAnsi="Times New Roman" w:cs="Times New Roman"/>
                <w:b/>
                <w:sz w:val="24"/>
                <w:szCs w:val="24"/>
              </w:rPr>
              <w:t>до 3 работни</w:t>
            </w:r>
            <w:r w:rsidRPr="0089633B">
              <w:rPr>
                <w:rFonts w:ascii="Times New Roman" w:hAnsi="Times New Roman" w:cs="Times New Roman"/>
                <w:sz w:val="24"/>
                <w:szCs w:val="24"/>
              </w:rPr>
              <w:t xml:space="preserve"> </w:t>
            </w:r>
            <w:r w:rsidRPr="0089633B">
              <w:rPr>
                <w:rFonts w:ascii="Times New Roman" w:hAnsi="Times New Roman" w:cs="Times New Roman"/>
                <w:b/>
                <w:sz w:val="24"/>
                <w:szCs w:val="24"/>
              </w:rPr>
              <w:t xml:space="preserve">дни </w:t>
            </w:r>
            <w:r w:rsidRPr="0089633B">
              <w:rPr>
                <w:rFonts w:ascii="Times New Roman" w:hAnsi="Times New Roman" w:cs="Times New Roman"/>
                <w:sz w:val="24"/>
                <w:szCs w:val="24"/>
              </w:rPr>
              <w:t>от датата на получаването на уведомлението.</w:t>
            </w:r>
          </w:p>
          <w:p w:rsidR="004E655E" w:rsidRPr="0089633B" w:rsidRDefault="004E655E" w:rsidP="001163C1">
            <w:pPr>
              <w:rPr>
                <w:rFonts w:ascii="Times New Roman" w:hAnsi="Times New Roman" w:cs="Times New Roman"/>
                <w:sz w:val="24"/>
                <w:szCs w:val="24"/>
                <w:highlight w:val="yellow"/>
              </w:rPr>
            </w:pPr>
            <w:r w:rsidRPr="0089633B">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за съответствие с критериите за допустимост на кандидата и критериите за допустимост на проекта.    </w:t>
            </w:r>
          </w:p>
          <w:p w:rsidR="004E655E" w:rsidRPr="00103847" w:rsidRDefault="004E655E" w:rsidP="001163C1">
            <w:pPr>
              <w:jc w:val="both"/>
              <w:rPr>
                <w:rFonts w:ascii="Times New Roman" w:hAnsi="Times New Roman" w:cs="Times New Roman"/>
                <w:sz w:val="24"/>
                <w:szCs w:val="24"/>
              </w:rPr>
            </w:pPr>
            <w:r w:rsidRPr="0089633B">
              <w:rPr>
                <w:rFonts w:ascii="Times New Roman" w:hAnsi="Times New Roman" w:cs="Times New Roman"/>
                <w:sz w:val="24"/>
                <w:szCs w:val="24"/>
                <w:lang w:val="ru-RU"/>
              </w:rPr>
              <w:lastRenderedPageBreak/>
              <w:t>4.</w:t>
            </w:r>
            <w:r w:rsidRPr="0089633B">
              <w:rPr>
                <w:rFonts w:ascii="Times New Roman" w:hAnsi="Times New Roman" w:cs="Times New Roman"/>
                <w:sz w:val="24"/>
                <w:szCs w:val="24"/>
              </w:rPr>
              <w:t>Уведомяването на отхвърлените и одобрените кандидати за сключване на административни договори с ДФЗ-РА за предоставяне на безвъзмездна финансова помощ се извършва чрез ИСУН. Кандидатите следва да предоставят точна и пълна информация за кореспонденция с ДФЗ-РА.</w:t>
            </w:r>
          </w:p>
        </w:tc>
      </w:tr>
    </w:tbl>
    <w:p w:rsidR="004E655E" w:rsidRPr="0089633B" w:rsidRDefault="004E655E" w:rsidP="004E655E">
      <w:pPr>
        <w:pStyle w:val="1"/>
        <w:jc w:val="both"/>
        <w:rPr>
          <w:rFonts w:cs="Times New Roman"/>
          <w:szCs w:val="24"/>
        </w:rPr>
      </w:pPr>
      <w:bookmarkStart w:id="38" w:name="_Toc505614672"/>
      <w:r w:rsidRPr="0089633B">
        <w:rPr>
          <w:rFonts w:cs="Times New Roman"/>
          <w:szCs w:val="24"/>
        </w:rPr>
        <w:lastRenderedPageBreak/>
        <w:t>28. Приложения към Условията за кандидатстване:</w:t>
      </w:r>
      <w:bookmarkEnd w:id="38"/>
    </w:p>
    <w:tbl>
      <w:tblPr>
        <w:tblStyle w:val="a9"/>
        <w:tblW w:w="0" w:type="auto"/>
        <w:tblLook w:val="04A0" w:firstRow="1" w:lastRow="0" w:firstColumn="1" w:lastColumn="0" w:noHBand="0" w:noVBand="1"/>
      </w:tblPr>
      <w:tblGrid>
        <w:gridCol w:w="9212"/>
      </w:tblGrid>
      <w:tr w:rsidR="004E655E" w:rsidRPr="00AA707E" w:rsidTr="001163C1">
        <w:tc>
          <w:tcPr>
            <w:tcW w:w="9212" w:type="dxa"/>
          </w:tcPr>
          <w:p w:rsidR="004E655E" w:rsidRPr="000B76DB" w:rsidRDefault="001163C1" w:rsidP="001163C1">
            <w:pPr>
              <w:rPr>
                <w:rFonts w:ascii="Times New Roman" w:hAnsi="Times New Roman" w:cs="Times New Roman"/>
                <w:b/>
                <w:sz w:val="24"/>
                <w:szCs w:val="24"/>
                <w:u w:val="single"/>
              </w:rPr>
            </w:pPr>
            <w:r>
              <w:rPr>
                <w:rFonts w:ascii="Times New Roman" w:hAnsi="Times New Roman" w:cs="Times New Roman"/>
                <w:b/>
                <w:sz w:val="24"/>
                <w:szCs w:val="24"/>
                <w:u w:val="single"/>
              </w:rPr>
              <w:t>Документи з</w:t>
            </w:r>
            <w:r w:rsidR="004E655E" w:rsidRPr="000B76DB">
              <w:rPr>
                <w:rFonts w:ascii="Times New Roman" w:hAnsi="Times New Roman" w:cs="Times New Roman"/>
                <w:b/>
                <w:sz w:val="24"/>
                <w:szCs w:val="24"/>
                <w:u w:val="single"/>
              </w:rPr>
              <w:t>а попълване</w:t>
            </w:r>
            <w:r w:rsidR="004E655E">
              <w:rPr>
                <w:rFonts w:ascii="Times New Roman" w:hAnsi="Times New Roman" w:cs="Times New Roman"/>
                <w:b/>
                <w:sz w:val="24"/>
                <w:szCs w:val="24"/>
                <w:u w:val="single"/>
              </w:rPr>
              <w:t xml:space="preserve"> от кандидата</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1_Основна информация за проектното предложение</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2_Декларация НСИ</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3_ Декларация за нередности</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 xml:space="preserve">Приложение № 4_Декларация по чл. 19 и 20 от </w:t>
            </w:r>
            <w:r w:rsidR="001163C1">
              <w:rPr>
                <w:rFonts w:ascii="Times New Roman" w:hAnsi="Times New Roman" w:cs="Times New Roman"/>
                <w:sz w:val="24"/>
                <w:szCs w:val="24"/>
              </w:rPr>
              <w:t>ЗЗЛД</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5_Декларация по чл. 25, ал. 2 от ЗУСЕСИФ</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6_</w:t>
            </w:r>
            <w:r w:rsidR="001163C1">
              <w:t xml:space="preserve"> </w:t>
            </w:r>
            <w:r w:rsidR="001163C1" w:rsidRPr="001163C1">
              <w:rPr>
                <w:rFonts w:ascii="Times New Roman" w:hAnsi="Times New Roman" w:cs="Times New Roman"/>
                <w:sz w:val="24"/>
                <w:szCs w:val="24"/>
              </w:rPr>
              <w:t>Декларация съгласно Приложение № 6 от Наредба 22</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7</w:t>
            </w:r>
            <w:r w:rsidR="004E655E" w:rsidRPr="00B84D15">
              <w:rPr>
                <w:rFonts w:ascii="Times New Roman" w:hAnsi="Times New Roman" w:cs="Times New Roman"/>
                <w:sz w:val="24"/>
                <w:szCs w:val="24"/>
              </w:rPr>
              <w:t xml:space="preserve">_ </w:t>
            </w:r>
            <w:r w:rsidRPr="001163C1">
              <w:rPr>
                <w:rFonts w:ascii="Times New Roman" w:hAnsi="Times New Roman" w:cs="Times New Roman"/>
                <w:sz w:val="24"/>
                <w:szCs w:val="24"/>
              </w:rPr>
              <w:t>Декларация за наличие или липса двойно финансиране</w:t>
            </w:r>
          </w:p>
          <w:p w:rsidR="001163C1"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8</w:t>
            </w:r>
            <w:r w:rsidR="004E655E" w:rsidRPr="00B84D15">
              <w:rPr>
                <w:rFonts w:ascii="Times New Roman" w:hAnsi="Times New Roman" w:cs="Times New Roman"/>
                <w:sz w:val="24"/>
                <w:szCs w:val="24"/>
              </w:rPr>
              <w:t xml:space="preserve">_ </w:t>
            </w:r>
            <w:r w:rsidRPr="001163C1">
              <w:rPr>
                <w:rFonts w:ascii="Times New Roman" w:hAnsi="Times New Roman" w:cs="Times New Roman"/>
                <w:sz w:val="24"/>
                <w:szCs w:val="24"/>
              </w:rPr>
              <w:t>Декларация_неприложимост_документи_по_19.2</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w:t>
            </w:r>
            <w:r w:rsidR="001163C1">
              <w:rPr>
                <w:rFonts w:ascii="Times New Roman" w:hAnsi="Times New Roman" w:cs="Times New Roman"/>
                <w:sz w:val="24"/>
                <w:szCs w:val="24"/>
              </w:rPr>
              <w:t>е № 9</w:t>
            </w:r>
            <w:r w:rsidRPr="00B84D15">
              <w:rPr>
                <w:rFonts w:ascii="Times New Roman" w:hAnsi="Times New Roman" w:cs="Times New Roman"/>
                <w:sz w:val="24"/>
                <w:szCs w:val="24"/>
              </w:rPr>
              <w:t>_ Анализ за социално-икономическите ползи за развитието на селския район и устойчивостта на инвестицията</w:t>
            </w:r>
          </w:p>
          <w:p w:rsidR="001163C1"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10</w:t>
            </w:r>
            <w:r w:rsidR="004E655E" w:rsidRPr="00B84D15">
              <w:rPr>
                <w:rFonts w:ascii="Times New Roman" w:hAnsi="Times New Roman" w:cs="Times New Roman"/>
                <w:sz w:val="24"/>
                <w:szCs w:val="24"/>
              </w:rPr>
              <w:t xml:space="preserve">_ </w:t>
            </w:r>
            <w:r>
              <w:rPr>
                <w:rFonts w:ascii="Times New Roman" w:hAnsi="Times New Roman" w:cs="Times New Roman"/>
                <w:sz w:val="24"/>
                <w:szCs w:val="24"/>
              </w:rPr>
              <w:t xml:space="preserve">Анализ разходи </w:t>
            </w:r>
            <w:r w:rsidRPr="001163C1">
              <w:rPr>
                <w:rFonts w:ascii="Times New Roman" w:hAnsi="Times New Roman" w:cs="Times New Roman"/>
                <w:sz w:val="24"/>
                <w:szCs w:val="24"/>
              </w:rPr>
              <w:t xml:space="preserve">ползи </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11</w:t>
            </w:r>
            <w:r w:rsidR="004E655E" w:rsidRPr="00B84D15">
              <w:rPr>
                <w:rFonts w:ascii="Times New Roman" w:hAnsi="Times New Roman" w:cs="Times New Roman"/>
                <w:sz w:val="24"/>
                <w:szCs w:val="24"/>
              </w:rPr>
              <w:t xml:space="preserve">_ </w:t>
            </w:r>
            <w:r>
              <w:rPr>
                <w:rFonts w:ascii="Times New Roman" w:hAnsi="Times New Roman" w:cs="Times New Roman"/>
                <w:sz w:val="24"/>
                <w:szCs w:val="24"/>
              </w:rPr>
              <w:t xml:space="preserve">Анализ разходи </w:t>
            </w:r>
            <w:r w:rsidRPr="001163C1">
              <w:rPr>
                <w:rFonts w:ascii="Times New Roman" w:hAnsi="Times New Roman" w:cs="Times New Roman"/>
                <w:sz w:val="24"/>
                <w:szCs w:val="24"/>
              </w:rPr>
              <w:t>ползи приходи и оперативни р-ди</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12</w:t>
            </w:r>
            <w:r w:rsidR="004E655E" w:rsidRPr="00B84D15">
              <w:rPr>
                <w:rFonts w:ascii="Times New Roman" w:hAnsi="Times New Roman" w:cs="Times New Roman"/>
                <w:sz w:val="24"/>
                <w:szCs w:val="24"/>
              </w:rPr>
              <w:t>_ ТДИД_19.2</w:t>
            </w:r>
          </w:p>
          <w:p w:rsidR="004E655E" w:rsidRPr="00B84D15"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13</w:t>
            </w:r>
            <w:r w:rsidR="004E655E" w:rsidRPr="00B84D15">
              <w:rPr>
                <w:rFonts w:ascii="Times New Roman" w:hAnsi="Times New Roman" w:cs="Times New Roman"/>
                <w:sz w:val="24"/>
                <w:szCs w:val="24"/>
              </w:rPr>
              <w:t>_ Формуляр за мониторинг</w:t>
            </w:r>
          </w:p>
          <w:p w:rsidR="005F7F71"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Приложение № 1</w:t>
            </w:r>
            <w:r w:rsidR="001163C1">
              <w:rPr>
                <w:rFonts w:ascii="Times New Roman" w:hAnsi="Times New Roman" w:cs="Times New Roman"/>
                <w:sz w:val="24"/>
                <w:szCs w:val="24"/>
              </w:rPr>
              <w:t>4</w:t>
            </w:r>
            <w:r w:rsidRPr="00B84D15">
              <w:rPr>
                <w:rFonts w:ascii="Times New Roman" w:hAnsi="Times New Roman" w:cs="Times New Roman"/>
                <w:sz w:val="24"/>
                <w:szCs w:val="24"/>
              </w:rPr>
              <w:t>_</w:t>
            </w:r>
            <w:r w:rsidR="005F7F71">
              <w:rPr>
                <w:rFonts w:ascii="Times New Roman" w:hAnsi="Times New Roman" w:cs="Times New Roman"/>
                <w:sz w:val="24"/>
                <w:szCs w:val="24"/>
              </w:rPr>
              <w:t xml:space="preserve">Декларация в оригинал по чл.4а от </w:t>
            </w:r>
            <w:r w:rsidRPr="00B84D15">
              <w:rPr>
                <w:rFonts w:ascii="Times New Roman" w:hAnsi="Times New Roman" w:cs="Times New Roman"/>
                <w:sz w:val="24"/>
                <w:szCs w:val="24"/>
              </w:rPr>
              <w:t xml:space="preserve">Закона за малките  и средни </w:t>
            </w:r>
          </w:p>
          <w:p w:rsidR="005F7F71" w:rsidRDefault="005F7F71" w:rsidP="001163C1">
            <w:pPr>
              <w:rPr>
                <w:rFonts w:ascii="Times New Roman" w:hAnsi="Times New Roman" w:cs="Times New Roman"/>
                <w:sz w:val="24"/>
                <w:szCs w:val="24"/>
              </w:rPr>
            </w:pPr>
            <w:r w:rsidRPr="005F7F71">
              <w:rPr>
                <w:rFonts w:ascii="Times New Roman" w:hAnsi="Times New Roman" w:cs="Times New Roman"/>
                <w:sz w:val="24"/>
                <w:szCs w:val="24"/>
              </w:rPr>
              <w:t xml:space="preserve">Приложение </w:t>
            </w:r>
            <w:r>
              <w:rPr>
                <w:rFonts w:ascii="Times New Roman" w:hAnsi="Times New Roman" w:cs="Times New Roman"/>
                <w:sz w:val="24"/>
                <w:szCs w:val="24"/>
              </w:rPr>
              <w:t>№ 14а_Указание попълване декларация</w:t>
            </w:r>
            <w:r w:rsidRPr="005F7F71">
              <w:rPr>
                <w:rFonts w:ascii="Times New Roman" w:hAnsi="Times New Roman" w:cs="Times New Roman"/>
                <w:sz w:val="24"/>
                <w:szCs w:val="24"/>
              </w:rPr>
              <w:t xml:space="preserve"> МСП</w:t>
            </w:r>
          </w:p>
          <w:p w:rsidR="004E655E" w:rsidRPr="00B84D15" w:rsidRDefault="004E655E" w:rsidP="001163C1">
            <w:pPr>
              <w:rPr>
                <w:rFonts w:ascii="Times New Roman" w:hAnsi="Times New Roman" w:cs="Times New Roman"/>
                <w:sz w:val="24"/>
                <w:szCs w:val="24"/>
              </w:rPr>
            </w:pPr>
            <w:r w:rsidRPr="00B84D15">
              <w:rPr>
                <w:rFonts w:ascii="Times New Roman" w:hAnsi="Times New Roman" w:cs="Times New Roman"/>
                <w:sz w:val="24"/>
                <w:szCs w:val="24"/>
              </w:rPr>
              <w:t xml:space="preserve">Приложение № </w:t>
            </w:r>
            <w:r w:rsidR="001163C1">
              <w:rPr>
                <w:rFonts w:ascii="Times New Roman" w:hAnsi="Times New Roman" w:cs="Times New Roman"/>
                <w:sz w:val="24"/>
                <w:szCs w:val="24"/>
              </w:rPr>
              <w:t>15</w:t>
            </w:r>
            <w:r w:rsidRPr="00B84D15">
              <w:rPr>
                <w:rFonts w:ascii="Times New Roman" w:hAnsi="Times New Roman" w:cs="Times New Roman"/>
                <w:sz w:val="24"/>
                <w:szCs w:val="24"/>
              </w:rPr>
              <w:t>_</w:t>
            </w:r>
            <w:r w:rsidR="005F7F71">
              <w:t xml:space="preserve"> </w:t>
            </w:r>
            <w:r w:rsidR="005F7F71" w:rsidRPr="005F7F71">
              <w:rPr>
                <w:rFonts w:ascii="Times New Roman" w:hAnsi="Times New Roman" w:cs="Times New Roman"/>
                <w:sz w:val="24"/>
                <w:szCs w:val="24"/>
              </w:rPr>
              <w:t>Декларация минимални и държавни помощи</w:t>
            </w:r>
          </w:p>
          <w:p w:rsidR="004E655E" w:rsidRDefault="001163C1" w:rsidP="001163C1">
            <w:pPr>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16</w:t>
            </w:r>
            <w:r w:rsidR="004E655E" w:rsidRPr="00147581">
              <w:rPr>
                <w:rFonts w:ascii="Times New Roman" w:hAnsi="Times New Roman" w:cs="Times New Roman"/>
                <w:sz w:val="24"/>
                <w:szCs w:val="24"/>
              </w:rPr>
              <w:t>_Декларация икономическо предназначение</w:t>
            </w:r>
          </w:p>
          <w:p w:rsidR="004E655E" w:rsidRPr="001A5976"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17</w:t>
            </w:r>
            <w:r w:rsidR="004E655E" w:rsidRPr="001A5976">
              <w:rPr>
                <w:rFonts w:ascii="Times New Roman" w:hAnsi="Times New Roman" w:cs="Times New Roman"/>
                <w:sz w:val="24"/>
                <w:szCs w:val="24"/>
              </w:rPr>
              <w:t>_Запитване за оферта</w:t>
            </w:r>
          </w:p>
          <w:p w:rsidR="004E655E" w:rsidRPr="001A5976"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18</w:t>
            </w:r>
            <w:r w:rsidR="004E655E" w:rsidRPr="001A5976">
              <w:rPr>
                <w:rFonts w:ascii="Times New Roman" w:hAnsi="Times New Roman" w:cs="Times New Roman"/>
                <w:sz w:val="24"/>
                <w:szCs w:val="24"/>
              </w:rPr>
              <w:t>_Формуляр за наблюдение мярка 7_2_</w:t>
            </w:r>
          </w:p>
          <w:p w:rsidR="004E655E" w:rsidRPr="001A5976" w:rsidRDefault="001163C1" w:rsidP="001163C1">
            <w:pPr>
              <w:rPr>
                <w:rFonts w:ascii="Times New Roman" w:hAnsi="Times New Roman" w:cs="Times New Roman"/>
                <w:sz w:val="24"/>
                <w:szCs w:val="24"/>
              </w:rPr>
            </w:pPr>
            <w:r>
              <w:rPr>
                <w:rFonts w:ascii="Times New Roman" w:hAnsi="Times New Roman" w:cs="Times New Roman"/>
                <w:sz w:val="24"/>
                <w:szCs w:val="24"/>
              </w:rPr>
              <w:t>Приложение № 19</w:t>
            </w:r>
            <w:r w:rsidR="005F7F71">
              <w:rPr>
                <w:rFonts w:ascii="Times New Roman" w:hAnsi="Times New Roman" w:cs="Times New Roman"/>
                <w:sz w:val="24"/>
                <w:szCs w:val="24"/>
              </w:rPr>
              <w:t>_Декларация за ге</w:t>
            </w:r>
            <w:r w:rsidR="004E655E" w:rsidRPr="001A5976">
              <w:rPr>
                <w:rFonts w:ascii="Times New Roman" w:hAnsi="Times New Roman" w:cs="Times New Roman"/>
                <w:sz w:val="24"/>
                <w:szCs w:val="24"/>
              </w:rPr>
              <w:t>нериране на нетни приходи</w:t>
            </w:r>
          </w:p>
          <w:p w:rsidR="004E655E" w:rsidRPr="0089633B" w:rsidRDefault="001163C1" w:rsidP="001163C1">
            <w:pPr>
              <w:jc w:val="both"/>
              <w:rPr>
                <w:rFonts w:ascii="Times New Roman" w:hAnsi="Times New Roman" w:cs="Times New Roman"/>
                <w:b/>
                <w:sz w:val="24"/>
                <w:szCs w:val="24"/>
                <w:u w:val="single"/>
              </w:rPr>
            </w:pPr>
            <w:r>
              <w:rPr>
                <w:rFonts w:ascii="Times New Roman" w:hAnsi="Times New Roman" w:cs="Times New Roman"/>
                <w:b/>
                <w:sz w:val="24"/>
                <w:szCs w:val="24"/>
                <w:u w:val="single"/>
              </w:rPr>
              <w:t>Документи з</w:t>
            </w:r>
            <w:r w:rsidR="004E655E" w:rsidRPr="0089633B">
              <w:rPr>
                <w:rFonts w:ascii="Times New Roman" w:hAnsi="Times New Roman" w:cs="Times New Roman"/>
                <w:b/>
                <w:sz w:val="24"/>
                <w:szCs w:val="24"/>
                <w:u w:val="single"/>
              </w:rPr>
              <w:t>а информация</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Pr="00784D18">
              <w:rPr>
                <w:rFonts w:ascii="Times New Roman" w:hAnsi="Times New Roman" w:cs="Times New Roman"/>
                <w:sz w:val="24"/>
                <w:szCs w:val="24"/>
                <w:lang w:val="ru-RU"/>
              </w:rPr>
              <w:t>2</w:t>
            </w:r>
            <w:r w:rsidR="005F7F71">
              <w:rPr>
                <w:rFonts w:ascii="Times New Roman" w:hAnsi="Times New Roman" w:cs="Times New Roman"/>
                <w:sz w:val="24"/>
                <w:szCs w:val="24"/>
                <w:lang w:val="ru-RU"/>
              </w:rPr>
              <w:t>0</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Списък селски райони</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Pr="00784D18">
              <w:rPr>
                <w:rFonts w:ascii="Times New Roman" w:hAnsi="Times New Roman" w:cs="Times New Roman"/>
                <w:sz w:val="24"/>
                <w:szCs w:val="24"/>
                <w:lang w:val="ru-RU"/>
              </w:rPr>
              <w:t>2</w:t>
            </w:r>
            <w:r w:rsidR="005F7F71">
              <w:rPr>
                <w:rFonts w:ascii="Times New Roman" w:hAnsi="Times New Roman" w:cs="Times New Roman"/>
                <w:sz w:val="24"/>
                <w:szCs w:val="24"/>
                <w:lang w:val="ru-RU"/>
              </w:rPr>
              <w:t>1</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Училища без ФС_05_02_2018</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Pr="00027424">
              <w:rPr>
                <w:rFonts w:ascii="Times New Roman" w:hAnsi="Times New Roman" w:cs="Times New Roman"/>
                <w:sz w:val="24"/>
                <w:szCs w:val="24"/>
                <w:lang w:val="ru-RU"/>
              </w:rPr>
              <w:t>2</w:t>
            </w:r>
            <w:r w:rsidR="005F7F71">
              <w:rPr>
                <w:rFonts w:ascii="Times New Roman" w:hAnsi="Times New Roman" w:cs="Times New Roman"/>
                <w:sz w:val="24"/>
                <w:szCs w:val="24"/>
                <w:lang w:val="ru-RU"/>
              </w:rPr>
              <w:t>2</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 xml:space="preserve"> Списък разходи референтни цени 7.2</w:t>
            </w:r>
          </w:p>
          <w:p w:rsidR="004E655E" w:rsidRDefault="004E655E" w:rsidP="001163C1">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Pr="00027424">
              <w:rPr>
                <w:rFonts w:ascii="Times New Roman" w:hAnsi="Times New Roman" w:cs="Times New Roman"/>
                <w:sz w:val="24"/>
                <w:szCs w:val="24"/>
              </w:rPr>
              <w:t>2</w:t>
            </w:r>
            <w:r w:rsidR="005F7F71">
              <w:rPr>
                <w:rFonts w:ascii="Times New Roman" w:hAnsi="Times New Roman" w:cs="Times New Roman"/>
                <w:sz w:val="24"/>
                <w:szCs w:val="24"/>
              </w:rPr>
              <w:t>3</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 xml:space="preserve"> Указания за условията и реда за подаване на проектни предложения</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Приложение № 2</w:t>
            </w:r>
            <w:r w:rsidR="005F7F71">
              <w:rPr>
                <w:rFonts w:ascii="Times New Roman" w:hAnsi="Times New Roman" w:cs="Times New Roman"/>
                <w:sz w:val="24"/>
                <w:szCs w:val="24"/>
              </w:rPr>
              <w:t>4</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Инструкция попълване формуляр за кандидатстване</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Приложение</w:t>
            </w:r>
            <w:r w:rsidRPr="00027424">
              <w:rPr>
                <w:rFonts w:ascii="Times New Roman" w:hAnsi="Times New Roman" w:cs="Times New Roman"/>
                <w:sz w:val="24"/>
                <w:szCs w:val="24"/>
                <w:lang w:val="ru-RU"/>
              </w:rPr>
              <w:t xml:space="preserve"> </w:t>
            </w:r>
            <w:r w:rsidRPr="00027424">
              <w:rPr>
                <w:rFonts w:ascii="Times New Roman" w:hAnsi="Times New Roman" w:cs="Times New Roman"/>
                <w:sz w:val="24"/>
                <w:szCs w:val="24"/>
              </w:rPr>
              <w:t xml:space="preserve">№ </w:t>
            </w:r>
            <w:r w:rsidR="005F7F71">
              <w:rPr>
                <w:rFonts w:ascii="Times New Roman" w:hAnsi="Times New Roman" w:cs="Times New Roman"/>
                <w:sz w:val="24"/>
                <w:szCs w:val="24"/>
              </w:rPr>
              <w:t>25</w:t>
            </w:r>
            <w:r w:rsidRPr="00027424">
              <w:rPr>
                <w:rFonts w:ascii="Times New Roman" w:hAnsi="Times New Roman" w:cs="Times New Roman"/>
                <w:sz w:val="24"/>
                <w:szCs w:val="24"/>
                <w:lang w:val="ru-RU"/>
              </w:rPr>
              <w:t>_</w:t>
            </w:r>
            <w:r w:rsidRPr="00027424">
              <w:rPr>
                <w:rFonts w:ascii="Times New Roman" w:hAnsi="Times New Roman" w:cs="Times New Roman"/>
                <w:sz w:val="24"/>
                <w:szCs w:val="24"/>
              </w:rPr>
              <w:t xml:space="preserve"> Демографски обхват_население по възраст</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005F7F71">
              <w:rPr>
                <w:rFonts w:ascii="Times New Roman" w:hAnsi="Times New Roman" w:cs="Times New Roman"/>
                <w:sz w:val="24"/>
                <w:szCs w:val="24"/>
              </w:rPr>
              <w:t>26</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Оценителна таблица_АСД</w:t>
            </w:r>
          </w:p>
          <w:p w:rsidR="004E655E"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005F7F71">
              <w:rPr>
                <w:rFonts w:ascii="Times New Roman" w:hAnsi="Times New Roman" w:cs="Times New Roman"/>
                <w:sz w:val="24"/>
                <w:szCs w:val="24"/>
              </w:rPr>
              <w:t>27</w:t>
            </w:r>
            <w:r w:rsidRPr="00784D18">
              <w:rPr>
                <w:rFonts w:ascii="Times New Roman" w:hAnsi="Times New Roman" w:cs="Times New Roman"/>
                <w:sz w:val="24"/>
                <w:szCs w:val="24"/>
                <w:lang w:val="ru-RU"/>
              </w:rPr>
              <w:t>_</w:t>
            </w:r>
            <w:r w:rsidRPr="00027424">
              <w:rPr>
                <w:rFonts w:ascii="Times New Roman" w:hAnsi="Times New Roman" w:cs="Times New Roman"/>
                <w:sz w:val="24"/>
                <w:szCs w:val="24"/>
              </w:rPr>
              <w:t xml:space="preserve"> Оценителна таблица_ТФО</w:t>
            </w:r>
          </w:p>
          <w:p w:rsidR="004E655E" w:rsidRPr="00027424" w:rsidRDefault="004E655E" w:rsidP="001163C1">
            <w:pPr>
              <w:jc w:val="both"/>
              <w:rPr>
                <w:rFonts w:ascii="Times New Roman" w:hAnsi="Times New Roman" w:cs="Times New Roman"/>
                <w:sz w:val="24"/>
                <w:szCs w:val="24"/>
              </w:rPr>
            </w:pPr>
            <w:r w:rsidRPr="00027424">
              <w:rPr>
                <w:rFonts w:ascii="Times New Roman" w:hAnsi="Times New Roman" w:cs="Times New Roman"/>
                <w:sz w:val="24"/>
                <w:szCs w:val="24"/>
              </w:rPr>
              <w:t xml:space="preserve">Приложение № </w:t>
            </w:r>
            <w:r w:rsidR="00103847">
              <w:rPr>
                <w:rFonts w:ascii="Times New Roman" w:hAnsi="Times New Roman" w:cs="Times New Roman"/>
                <w:sz w:val="24"/>
                <w:szCs w:val="24"/>
              </w:rPr>
              <w:t>28</w:t>
            </w:r>
            <w:r w:rsidRPr="001A5976">
              <w:rPr>
                <w:rFonts w:ascii="Times New Roman" w:hAnsi="Times New Roman" w:cs="Times New Roman"/>
                <w:sz w:val="24"/>
                <w:szCs w:val="24"/>
              </w:rPr>
              <w:t>_</w:t>
            </w:r>
            <w:r w:rsidRPr="00027424">
              <w:rPr>
                <w:rFonts w:ascii="Times New Roman" w:hAnsi="Times New Roman" w:cs="Times New Roman"/>
                <w:sz w:val="24"/>
                <w:szCs w:val="24"/>
              </w:rPr>
              <w:t xml:space="preserve"> Равнище на безработица_2016_средногодишно</w:t>
            </w:r>
            <w:r w:rsidRPr="001A5976">
              <w:rPr>
                <w:rFonts w:ascii="Times New Roman" w:hAnsi="Times New Roman" w:cs="Times New Roman"/>
                <w:sz w:val="24"/>
                <w:szCs w:val="24"/>
              </w:rPr>
              <w:t>.</w:t>
            </w:r>
          </w:p>
          <w:p w:rsidR="004E655E" w:rsidRDefault="001163C1" w:rsidP="001163C1">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03847">
              <w:rPr>
                <w:rFonts w:ascii="Times New Roman" w:hAnsi="Times New Roman" w:cs="Times New Roman"/>
                <w:sz w:val="24"/>
                <w:szCs w:val="24"/>
              </w:rPr>
              <w:t>29</w:t>
            </w:r>
            <w:r w:rsidR="004E655E" w:rsidRPr="001A5976">
              <w:rPr>
                <w:rFonts w:ascii="Times New Roman" w:hAnsi="Times New Roman" w:cs="Times New Roman"/>
                <w:sz w:val="24"/>
                <w:szCs w:val="24"/>
              </w:rPr>
              <w:t>_Примерни_таблици_ФА</w:t>
            </w:r>
          </w:p>
          <w:p w:rsidR="004E655E" w:rsidRDefault="004E655E" w:rsidP="001163C1">
            <w:pPr>
              <w:jc w:val="both"/>
              <w:rPr>
                <w:rFonts w:ascii="Times New Roman" w:hAnsi="Times New Roman" w:cs="Times New Roman"/>
                <w:sz w:val="24"/>
                <w:szCs w:val="24"/>
              </w:rPr>
            </w:pPr>
            <w:r w:rsidRPr="0016122F">
              <w:rPr>
                <w:rFonts w:ascii="Times New Roman" w:hAnsi="Times New Roman" w:cs="Times New Roman"/>
                <w:sz w:val="24"/>
                <w:szCs w:val="24"/>
              </w:rPr>
              <w:t xml:space="preserve">Приложение № </w:t>
            </w:r>
            <w:r w:rsidR="00103847">
              <w:rPr>
                <w:rFonts w:ascii="Times New Roman" w:hAnsi="Times New Roman" w:cs="Times New Roman"/>
                <w:sz w:val="24"/>
                <w:szCs w:val="24"/>
              </w:rPr>
              <w:t>30</w:t>
            </w:r>
            <w:r w:rsidRPr="0016122F">
              <w:rPr>
                <w:rFonts w:ascii="Times New Roman" w:hAnsi="Times New Roman" w:cs="Times New Roman"/>
                <w:sz w:val="24"/>
                <w:szCs w:val="24"/>
              </w:rPr>
              <w:t>_</w:t>
            </w:r>
            <w:r>
              <w:rPr>
                <w:rFonts w:ascii="Times New Roman" w:hAnsi="Times New Roman" w:cs="Times New Roman"/>
                <w:sz w:val="24"/>
                <w:szCs w:val="24"/>
              </w:rPr>
              <w:t>Контролен лист от посещение на място</w:t>
            </w:r>
          </w:p>
          <w:p w:rsidR="004E655E" w:rsidRDefault="004E655E" w:rsidP="00103847">
            <w:pPr>
              <w:jc w:val="both"/>
              <w:rPr>
                <w:rFonts w:ascii="Times New Roman" w:hAnsi="Times New Roman" w:cs="Times New Roman"/>
                <w:sz w:val="24"/>
                <w:szCs w:val="24"/>
              </w:rPr>
            </w:pPr>
            <w:r w:rsidRPr="0016122F">
              <w:rPr>
                <w:rFonts w:ascii="Times New Roman" w:hAnsi="Times New Roman" w:cs="Times New Roman"/>
                <w:sz w:val="24"/>
                <w:szCs w:val="24"/>
              </w:rPr>
              <w:t>Приложение № 3</w:t>
            </w:r>
            <w:r w:rsidR="00103847">
              <w:rPr>
                <w:rFonts w:ascii="Times New Roman" w:hAnsi="Times New Roman" w:cs="Times New Roman"/>
                <w:sz w:val="24"/>
                <w:szCs w:val="24"/>
              </w:rPr>
              <w:t>1</w:t>
            </w:r>
            <w:r w:rsidRPr="00BB421D">
              <w:rPr>
                <w:rFonts w:ascii="Times New Roman" w:hAnsi="Times New Roman" w:cs="Times New Roman"/>
                <w:sz w:val="24"/>
                <w:szCs w:val="24"/>
              </w:rPr>
              <w:t>_ Одобрен размер на допустимите разходи</w:t>
            </w:r>
          </w:p>
          <w:p w:rsidR="00054AD8" w:rsidRPr="00BB421D" w:rsidRDefault="00054AD8" w:rsidP="00103847">
            <w:pPr>
              <w:jc w:val="both"/>
              <w:rPr>
                <w:rFonts w:ascii="Times New Roman" w:hAnsi="Times New Roman" w:cs="Times New Roman"/>
                <w:sz w:val="24"/>
                <w:szCs w:val="24"/>
              </w:rPr>
            </w:pPr>
            <w:r w:rsidRPr="00054AD8">
              <w:rPr>
                <w:rFonts w:ascii="Times New Roman" w:hAnsi="Times New Roman" w:cs="Times New Roman"/>
                <w:sz w:val="24"/>
                <w:szCs w:val="24"/>
              </w:rPr>
              <w:t>Приложение_32_Работен лист  - проверка двойно финансиране изкуствено създадени условия и минимални помощи</w:t>
            </w:r>
          </w:p>
        </w:tc>
      </w:tr>
    </w:tbl>
    <w:p w:rsidR="004E655E" w:rsidRDefault="004E655E" w:rsidP="004E655E">
      <w:pPr>
        <w:ind w:firstLine="708"/>
      </w:pPr>
    </w:p>
    <w:p w:rsidR="00947522" w:rsidRDefault="00947522"/>
    <w:sectPr w:rsidR="00947522" w:rsidSect="001163C1">
      <w:headerReference w:type="even" r:id="rId36"/>
      <w:headerReference w:type="default" r:id="rId37"/>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3B" w:rsidRDefault="00246C3B" w:rsidP="004E655E">
      <w:pPr>
        <w:spacing w:after="0" w:line="240" w:lineRule="auto"/>
      </w:pPr>
      <w:r>
        <w:separator/>
      </w:r>
    </w:p>
  </w:endnote>
  <w:endnote w:type="continuationSeparator" w:id="0">
    <w:p w:rsidR="00246C3B" w:rsidRDefault="00246C3B" w:rsidP="004E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Pr="00623FED" w:rsidRDefault="00CD521F" w:rsidP="001163C1">
    <w:pPr>
      <w:pBdr>
        <w:top w:val="thinThickSmallGap" w:sz="24" w:space="1" w:color="823B0B" w:themeColor="accent2" w:themeShade="7F"/>
      </w:pBdr>
      <w:tabs>
        <w:tab w:val="center" w:pos="4536"/>
        <w:tab w:val="right" w:pos="9072"/>
      </w:tabs>
      <w:spacing w:after="0" w:line="240" w:lineRule="auto"/>
      <w:rPr>
        <w:rFonts w:asciiTheme="majorHAnsi" w:eastAsiaTheme="majorEastAsia" w:hAnsiTheme="majorHAnsi" w:cstheme="majorBidi"/>
      </w:rPr>
    </w:pPr>
  </w:p>
  <w:p w:rsidR="00CD521F" w:rsidRPr="0089633B" w:rsidRDefault="00CD521F" w:rsidP="001163C1">
    <w:pPr>
      <w:tabs>
        <w:tab w:val="right" w:pos="11766"/>
      </w:tabs>
      <w:spacing w:after="0" w:line="240" w:lineRule="auto"/>
      <w:jc w:val="center"/>
      <w:rPr>
        <w:rFonts w:ascii="Times New Roman" w:eastAsiaTheme="minorEastAsia" w:hAnsi="Times New Roman" w:cs="Times New Roman"/>
        <w:b/>
        <w:sz w:val="16"/>
        <w:szCs w:val="16"/>
        <w:lang w:eastAsia="bg-BG"/>
      </w:rPr>
    </w:pPr>
    <w:r w:rsidRPr="0089633B">
      <w:rPr>
        <w:rFonts w:ascii="Times New Roman" w:eastAsiaTheme="minorEastAsia" w:hAnsi="Times New Roman" w:cs="Times New Roman"/>
        <w:b/>
        <w:sz w:val="16"/>
        <w:szCs w:val="16"/>
        <w:lang w:eastAsia="bg-BG"/>
      </w:rPr>
      <w:t>СНЦ „МИГ Чирпан“</w:t>
    </w:r>
  </w:p>
  <w:p w:rsidR="00CD521F" w:rsidRPr="0089633B" w:rsidRDefault="00CD521F" w:rsidP="001163C1">
    <w:pPr>
      <w:tabs>
        <w:tab w:val="right" w:pos="11766"/>
      </w:tabs>
      <w:spacing w:after="0" w:line="240" w:lineRule="auto"/>
      <w:jc w:val="both"/>
      <w:rPr>
        <w:rFonts w:ascii="Times New Roman" w:eastAsiaTheme="minorEastAsia" w:hAnsi="Times New Roman" w:cs="Times New Roman"/>
        <w:sz w:val="16"/>
        <w:szCs w:val="16"/>
        <w:lang w:eastAsia="bg-BG"/>
      </w:rPr>
    </w:pPr>
    <w:r w:rsidRPr="0089633B">
      <w:rPr>
        <w:rFonts w:ascii="Times New Roman" w:eastAsiaTheme="minorEastAsia" w:hAnsi="Times New Roman" w:cs="Times New Roman"/>
        <w:sz w:val="16"/>
        <w:szCs w:val="16"/>
        <w:lang w:eastAsia="bg-BG"/>
      </w:rPr>
      <w:t xml:space="preserve">Седалище и адрес на управление: България, п.к. 6200, гр. Чирпан, общ. Чирпан, обл. Стара Загора, пл.Съединение, Общинска администрация , ет.4, стая 9,Адрес на офиса: България, п.к. 6200, гр. Чирпан, общ. Чирпан, обл. Стара Загора, ул.“Вълко и Кабаиван“№ 9,  тел. 0897/995 717, e-mail: </w:t>
    </w:r>
    <w:hyperlink r:id="rId1" w:history="1">
      <w:r w:rsidRPr="0089633B">
        <w:rPr>
          <w:rFonts w:ascii="Times New Roman" w:eastAsiaTheme="minorEastAsia" w:hAnsi="Times New Roman" w:cs="Times New Roman"/>
          <w:sz w:val="16"/>
          <w:szCs w:val="16"/>
          <w:lang w:eastAsia="bg-BG"/>
        </w:rPr>
        <w:t>migchirpan@abv.bg</w:t>
      </w:r>
    </w:hyperlink>
    <w:r w:rsidRPr="0089633B">
      <w:rPr>
        <w:rFonts w:ascii="Times New Roman" w:eastAsiaTheme="minorEastAsia" w:hAnsi="Times New Roman" w:cs="Times New Roman"/>
        <w:sz w:val="16"/>
        <w:szCs w:val="16"/>
        <w:lang w:eastAsia="bg-BG"/>
      </w:rPr>
      <w:t>, web: www.migchirpan.eu</w:t>
    </w:r>
  </w:p>
  <w:sdt>
    <w:sdtPr>
      <w:id w:val="670302747"/>
      <w:docPartObj>
        <w:docPartGallery w:val="Page Numbers (Bottom of Page)"/>
        <w:docPartUnique/>
      </w:docPartObj>
    </w:sdtPr>
    <w:sdtEndPr/>
    <w:sdtContent>
      <w:p w:rsidR="00CD521F" w:rsidRDefault="00CD521F" w:rsidP="001163C1">
        <w:pPr>
          <w:pStyle w:val="a5"/>
          <w:jc w:val="right"/>
        </w:pPr>
        <w:r w:rsidRPr="003A4136">
          <w:rPr>
            <w:rFonts w:ascii="Times New Roman" w:hAnsi="Times New Roman" w:cs="Times New Roman"/>
            <w:sz w:val="20"/>
            <w:szCs w:val="20"/>
          </w:rPr>
          <w:fldChar w:fldCharType="begin"/>
        </w:r>
        <w:r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sidR="00880661">
          <w:rPr>
            <w:rFonts w:ascii="Times New Roman" w:hAnsi="Times New Roman" w:cs="Times New Roman"/>
            <w:noProof/>
            <w:sz w:val="20"/>
            <w:szCs w:val="20"/>
          </w:rPr>
          <w:t>65</w:t>
        </w:r>
        <w:r w:rsidRPr="003A4136">
          <w:rPr>
            <w:rFonts w:ascii="Times New Roman" w:hAnsi="Times New Roman" w:cs="Times New Roman"/>
            <w:sz w:val="20"/>
            <w:szCs w:val="20"/>
          </w:rPr>
          <w:fldChar w:fldCharType="end"/>
        </w:r>
      </w:p>
    </w:sdtContent>
  </w:sdt>
  <w:p w:rsidR="00CD521F" w:rsidRPr="00CD0352" w:rsidRDefault="00CD521F" w:rsidP="001163C1">
    <w:pPr>
      <w:pStyle w:val="a5"/>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3B" w:rsidRDefault="00246C3B" w:rsidP="004E655E">
      <w:pPr>
        <w:spacing w:after="0" w:line="240" w:lineRule="auto"/>
      </w:pPr>
      <w:r>
        <w:separator/>
      </w:r>
    </w:p>
  </w:footnote>
  <w:footnote w:type="continuationSeparator" w:id="0">
    <w:p w:rsidR="00246C3B" w:rsidRDefault="00246C3B" w:rsidP="004E655E">
      <w:pPr>
        <w:spacing w:after="0" w:line="240" w:lineRule="auto"/>
      </w:pPr>
      <w:r>
        <w:continuationSeparator/>
      </w:r>
    </w:p>
  </w:footnote>
  <w:footnote w:id="1">
    <w:p w:rsidR="00CD521F" w:rsidRPr="002376B3" w:rsidRDefault="00CD521F" w:rsidP="004E655E">
      <w:pPr>
        <w:jc w:val="both"/>
        <w:rPr>
          <w:rFonts w:ascii="Times New Roman" w:hAnsi="Times New Roman" w:cs="Times New Roman"/>
        </w:rPr>
      </w:pPr>
      <w:r w:rsidRPr="002376B3">
        <w:rPr>
          <w:rStyle w:val="af5"/>
          <w:rFonts w:ascii="Times New Roman" w:hAnsi="Times New Roman"/>
        </w:rPr>
        <w:footnoteRef/>
      </w:r>
      <w:r w:rsidRPr="002376B3">
        <w:rPr>
          <w:rFonts w:ascii="Times New Roman" w:hAnsi="Times New Roman" w:cs="Times New Roman"/>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а) дадено предприятие притежава мнозинството от гласовете на акционерите или съдружниците в друго предприятие;</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D521F" w:rsidRPr="002376B3" w:rsidRDefault="00CD521F" w:rsidP="004E655E">
      <w:pPr>
        <w:jc w:val="both"/>
        <w:rPr>
          <w:rFonts w:ascii="Times New Roman" w:hAnsi="Times New Roman" w:cs="Times New Roman"/>
        </w:rPr>
      </w:pPr>
      <w:r w:rsidRPr="002376B3">
        <w:rPr>
          <w:rFonts w:ascii="Times New Roman" w:hAnsi="Times New Roman" w:cs="Times New Roman"/>
        </w:rPr>
        <w:t>Предприятия, поддържащи едно от взаимоотно</w:t>
      </w:r>
      <w:r>
        <w:rPr>
          <w:rFonts w:ascii="Times New Roman" w:hAnsi="Times New Roman" w:cs="Times New Roman"/>
        </w:rPr>
        <w:t>шенията, посочени в</w:t>
      </w:r>
      <w:r w:rsidRPr="002376B3">
        <w:rPr>
          <w:rFonts w:ascii="Times New Roman" w:hAnsi="Times New Roman" w:cs="Times New Roman"/>
        </w:rPr>
        <w:t xml:space="preserve"> букви а) — г), посредством едно или няколко други предприятия, също се разглеждат като едно и също предприятие</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Default="00246C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5" o:spid="_x0000_s2050"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Pr="004339C1" w:rsidRDefault="00CD521F" w:rsidP="001163C1">
    <w:pPr>
      <w:pStyle w:val="a3"/>
      <w:tabs>
        <w:tab w:val="clear" w:pos="4536"/>
        <w:tab w:val="clear" w:pos="9072"/>
        <w:tab w:val="right" w:pos="11766"/>
      </w:tabs>
      <w:jc w:val="center"/>
      <w:rPr>
        <w:rFonts w:ascii="Verdana" w:hAnsi="Verdana"/>
        <w:b/>
        <w:spacing w:val="40"/>
        <w:sz w:val="20"/>
        <w:szCs w:val="20"/>
      </w:rPr>
    </w:pPr>
    <w:r>
      <w:rPr>
        <w:rFonts w:ascii="Verdana" w:hAnsi="Verdana"/>
        <w:b/>
        <w:noProof/>
        <w:spacing w:val="40"/>
        <w:sz w:val="20"/>
        <w:szCs w:val="20"/>
        <w:lang w:eastAsia="bg-BG"/>
      </w:rPr>
      <w:drawing>
        <wp:inline distT="0" distB="0" distL="0" distR="0" wp14:anchorId="2F0C0222">
          <wp:extent cx="5761355" cy="11461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46175"/>
                  </a:xfrm>
                  <a:prstGeom prst="rect">
                    <a:avLst/>
                  </a:prstGeom>
                  <a:noFill/>
                </pic:spPr>
              </pic:pic>
            </a:graphicData>
          </a:graphic>
        </wp:inline>
      </w:drawing>
    </w:r>
  </w:p>
  <w:p w:rsidR="00CD521F" w:rsidRDefault="00CD521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F" w:rsidRDefault="00246C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5364"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BD2"/>
    <w:multiLevelType w:val="hybridMultilevel"/>
    <w:tmpl w:val="15884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C22823"/>
    <w:multiLevelType w:val="hybridMultilevel"/>
    <w:tmpl w:val="84260F1C"/>
    <w:lvl w:ilvl="0" w:tplc="BDB66686">
      <w:start w:val="7"/>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DB9189C"/>
    <w:multiLevelType w:val="hybridMultilevel"/>
    <w:tmpl w:val="98B0069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15:restartNumberingAfterBreak="0">
    <w:nsid w:val="1028074A"/>
    <w:multiLevelType w:val="hybridMultilevel"/>
    <w:tmpl w:val="F9B6556A"/>
    <w:lvl w:ilvl="0" w:tplc="17649B14">
      <w:start w:val="1"/>
      <w:numFmt w:val="bullet"/>
      <w:lvlText w:val=""/>
      <w:lvlJc w:val="left"/>
      <w:pPr>
        <w:ind w:left="720" w:hanging="360"/>
      </w:pPr>
      <w:rPr>
        <w:rFonts w:ascii="Wingdings" w:hAnsi="Wingdings" w:hint="default"/>
        <w:color w:val="1F4E79"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EB21F1"/>
    <w:multiLevelType w:val="hybridMultilevel"/>
    <w:tmpl w:val="C7188DB4"/>
    <w:lvl w:ilvl="0" w:tplc="AAB442CC">
      <w:start w:val="1"/>
      <w:numFmt w:val="bullet"/>
      <w:lvlText w:val=""/>
      <w:lvlJc w:val="left"/>
      <w:pPr>
        <w:ind w:left="720" w:hanging="360"/>
      </w:pPr>
      <w:rPr>
        <w:rFonts w:ascii="Wingdings" w:hAnsi="Wingdings" w:hint="default"/>
        <w:color w:val="1F4E79"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743D1C"/>
    <w:multiLevelType w:val="hybridMultilevel"/>
    <w:tmpl w:val="EEFCE906"/>
    <w:lvl w:ilvl="0" w:tplc="B9AEEBA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14107D"/>
    <w:multiLevelType w:val="hybridMultilevel"/>
    <w:tmpl w:val="91A4C6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6F1575"/>
    <w:multiLevelType w:val="hybridMultilevel"/>
    <w:tmpl w:val="C05058E2"/>
    <w:lvl w:ilvl="0" w:tplc="2BDCEF30">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534136"/>
    <w:multiLevelType w:val="hybridMultilevel"/>
    <w:tmpl w:val="38046BFC"/>
    <w:lvl w:ilvl="0" w:tplc="176AB380">
      <w:start w:val="1"/>
      <w:numFmt w:val="decimal"/>
      <w:lvlText w:val="%1."/>
      <w:lvlJc w:val="left"/>
      <w:pPr>
        <w:ind w:left="360" w:hanging="360"/>
      </w:pPr>
      <w:rPr>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208B2AA8"/>
    <w:multiLevelType w:val="hybridMultilevel"/>
    <w:tmpl w:val="B0ECE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DC2B21"/>
    <w:multiLevelType w:val="hybridMultilevel"/>
    <w:tmpl w:val="85C4162A"/>
    <w:lvl w:ilvl="0" w:tplc="04020001">
      <w:start w:val="1"/>
      <w:numFmt w:val="bullet"/>
      <w:lvlText w:val=""/>
      <w:lvlJc w:val="left"/>
      <w:pPr>
        <w:ind w:left="720" w:hanging="360"/>
      </w:pPr>
      <w:rPr>
        <w:rFonts w:ascii="Symbol" w:hAnsi="Symbol" w:hint="default"/>
      </w:rPr>
    </w:lvl>
    <w:lvl w:ilvl="1" w:tplc="18C245DA">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2"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4126CA"/>
    <w:multiLevelType w:val="hybridMultilevel"/>
    <w:tmpl w:val="38A80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D933D0"/>
    <w:multiLevelType w:val="hybridMultilevel"/>
    <w:tmpl w:val="E5848240"/>
    <w:lvl w:ilvl="0" w:tplc="11FA0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E730787"/>
    <w:multiLevelType w:val="hybridMultilevel"/>
    <w:tmpl w:val="F670DFC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3F0D0FB3"/>
    <w:multiLevelType w:val="hybridMultilevel"/>
    <w:tmpl w:val="7310D01C"/>
    <w:lvl w:ilvl="0" w:tplc="8CDA1A46">
      <w:start w:val="1"/>
      <w:numFmt w:val="decimal"/>
      <w:lvlText w:val="%1."/>
      <w:lvlJc w:val="left"/>
      <w:pPr>
        <w:ind w:left="435" w:hanging="375"/>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15:restartNumberingAfterBreak="0">
    <w:nsid w:val="41133B0E"/>
    <w:multiLevelType w:val="hybridMultilevel"/>
    <w:tmpl w:val="73248E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2CB27C7"/>
    <w:multiLevelType w:val="hybridMultilevel"/>
    <w:tmpl w:val="581CAE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156C84"/>
    <w:multiLevelType w:val="hybridMultilevel"/>
    <w:tmpl w:val="88FA4D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B97F85"/>
    <w:multiLevelType w:val="hybridMultilevel"/>
    <w:tmpl w:val="BBEE47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66538E3"/>
    <w:multiLevelType w:val="hybridMultilevel"/>
    <w:tmpl w:val="36A600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C29C9"/>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C705C"/>
    <w:multiLevelType w:val="hybridMultilevel"/>
    <w:tmpl w:val="7FAC83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37373C5"/>
    <w:multiLevelType w:val="hybridMultilevel"/>
    <w:tmpl w:val="90300B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6F804C3"/>
    <w:multiLevelType w:val="hybridMultilevel"/>
    <w:tmpl w:val="5DBA0DA8"/>
    <w:lvl w:ilvl="0" w:tplc="5C28D36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564569"/>
    <w:multiLevelType w:val="hybridMultilevel"/>
    <w:tmpl w:val="16CCF9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BDC2AFE"/>
    <w:multiLevelType w:val="hybridMultilevel"/>
    <w:tmpl w:val="3E56ED5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602526"/>
    <w:multiLevelType w:val="hybridMultilevel"/>
    <w:tmpl w:val="7DE893EA"/>
    <w:lvl w:ilvl="0" w:tplc="06207964">
      <w:start w:val="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27"/>
  </w:num>
  <w:num w:numId="2">
    <w:abstractNumId w:val="14"/>
  </w:num>
  <w:num w:numId="3">
    <w:abstractNumId w:val="33"/>
  </w:num>
  <w:num w:numId="4">
    <w:abstractNumId w:val="10"/>
  </w:num>
  <w:num w:numId="5">
    <w:abstractNumId w:val="6"/>
  </w:num>
  <w:num w:numId="6">
    <w:abstractNumId w:val="7"/>
  </w:num>
  <w:num w:numId="7">
    <w:abstractNumId w:val="4"/>
  </w:num>
  <w:num w:numId="8">
    <w:abstractNumId w:val="3"/>
  </w:num>
  <w:num w:numId="9">
    <w:abstractNumId w:val="21"/>
  </w:num>
  <w:num w:numId="10">
    <w:abstractNumId w:val="1"/>
  </w:num>
  <w:num w:numId="11">
    <w:abstractNumId w:val="2"/>
  </w:num>
  <w:num w:numId="12">
    <w:abstractNumId w:val="18"/>
  </w:num>
  <w:num w:numId="13">
    <w:abstractNumId w:val="31"/>
  </w:num>
  <w:num w:numId="14">
    <w:abstractNumId w:val="17"/>
  </w:num>
  <w:num w:numId="15">
    <w:abstractNumId w:val="28"/>
  </w:num>
  <w:num w:numId="16">
    <w:abstractNumId w:val="29"/>
  </w:num>
  <w:num w:numId="17">
    <w:abstractNumId w:val="12"/>
  </w:num>
  <w:num w:numId="18">
    <w:abstractNumId w:val="26"/>
  </w:num>
  <w:num w:numId="19">
    <w:abstractNumId w:val="23"/>
  </w:num>
  <w:num w:numId="20">
    <w:abstractNumId w:val="19"/>
  </w:num>
  <w:num w:numId="21">
    <w:abstractNumId w:val="5"/>
  </w:num>
  <w:num w:numId="22">
    <w:abstractNumId w:val="32"/>
  </w:num>
  <w:num w:numId="23">
    <w:abstractNumId w:val="16"/>
  </w:num>
  <w:num w:numId="24">
    <w:abstractNumId w:val="20"/>
  </w:num>
  <w:num w:numId="25">
    <w:abstractNumId w:val="8"/>
  </w:num>
  <w:num w:numId="26">
    <w:abstractNumId w:val="11"/>
  </w:num>
  <w:num w:numId="27">
    <w:abstractNumId w:val="13"/>
  </w:num>
  <w:num w:numId="28">
    <w:abstractNumId w:val="15"/>
  </w:num>
  <w:num w:numId="29">
    <w:abstractNumId w:val="25"/>
  </w:num>
  <w:num w:numId="30">
    <w:abstractNumId w:val="24"/>
  </w:num>
  <w:num w:numId="31">
    <w:abstractNumId w:val="0"/>
  </w:num>
  <w:num w:numId="32">
    <w:abstractNumId w:val="22"/>
  </w:num>
  <w:num w:numId="33">
    <w:abstractNumId w:val="34"/>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82"/>
    <w:rsid w:val="000023F8"/>
    <w:rsid w:val="00010DE6"/>
    <w:rsid w:val="00031180"/>
    <w:rsid w:val="00054AD8"/>
    <w:rsid w:val="00103847"/>
    <w:rsid w:val="001163C1"/>
    <w:rsid w:val="00126349"/>
    <w:rsid w:val="00246C3B"/>
    <w:rsid w:val="002A4B81"/>
    <w:rsid w:val="002B2AAA"/>
    <w:rsid w:val="003B65C8"/>
    <w:rsid w:val="003C247C"/>
    <w:rsid w:val="003F6A6B"/>
    <w:rsid w:val="004668A4"/>
    <w:rsid w:val="00494236"/>
    <w:rsid w:val="004B72F0"/>
    <w:rsid w:val="004E655E"/>
    <w:rsid w:val="00536EDE"/>
    <w:rsid w:val="00583030"/>
    <w:rsid w:val="005B4AC7"/>
    <w:rsid w:val="005F7F71"/>
    <w:rsid w:val="00633231"/>
    <w:rsid w:val="00691B23"/>
    <w:rsid w:val="00730F4A"/>
    <w:rsid w:val="00756A7E"/>
    <w:rsid w:val="007C6436"/>
    <w:rsid w:val="00845293"/>
    <w:rsid w:val="00880661"/>
    <w:rsid w:val="008808E1"/>
    <w:rsid w:val="008E6815"/>
    <w:rsid w:val="00947522"/>
    <w:rsid w:val="00987A5E"/>
    <w:rsid w:val="009A1026"/>
    <w:rsid w:val="009C0882"/>
    <w:rsid w:val="00A04789"/>
    <w:rsid w:val="00A213D3"/>
    <w:rsid w:val="00A369CC"/>
    <w:rsid w:val="00A46063"/>
    <w:rsid w:val="00AD5702"/>
    <w:rsid w:val="00B6305A"/>
    <w:rsid w:val="00B67A4F"/>
    <w:rsid w:val="00BA6DEF"/>
    <w:rsid w:val="00BB031C"/>
    <w:rsid w:val="00C0238A"/>
    <w:rsid w:val="00CB47C7"/>
    <w:rsid w:val="00CB583B"/>
    <w:rsid w:val="00CD521F"/>
    <w:rsid w:val="00CF17A0"/>
    <w:rsid w:val="00E039C2"/>
    <w:rsid w:val="00EC2272"/>
    <w:rsid w:val="00F02F85"/>
    <w:rsid w:val="00F462F6"/>
    <w:rsid w:val="00FD1C36"/>
    <w:rsid w:val="00FF0C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3D70FC"/>
  <w15:docId w15:val="{9DBB98C6-67B1-4D9D-B5EA-F8BAC554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5E"/>
    <w:pPr>
      <w:spacing w:after="200" w:line="276" w:lineRule="auto"/>
    </w:pPr>
  </w:style>
  <w:style w:type="paragraph" w:styleId="1">
    <w:name w:val="heading 1"/>
    <w:basedOn w:val="a"/>
    <w:next w:val="a"/>
    <w:link w:val="10"/>
    <w:uiPriority w:val="9"/>
    <w:qFormat/>
    <w:rsid w:val="004E655E"/>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4E655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E65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E655E"/>
    <w:rPr>
      <w:rFonts w:ascii="Times New Roman" w:eastAsiaTheme="majorEastAsia" w:hAnsi="Times New Roman" w:cstheme="majorBidi"/>
      <w:b/>
      <w:bCs/>
      <w:sz w:val="24"/>
      <w:szCs w:val="28"/>
    </w:rPr>
  </w:style>
  <w:style w:type="character" w:customStyle="1" w:styleId="30">
    <w:name w:val="Заглавие 3 Знак"/>
    <w:basedOn w:val="a0"/>
    <w:link w:val="3"/>
    <w:uiPriority w:val="9"/>
    <w:semiHidden/>
    <w:rsid w:val="004E655E"/>
    <w:rPr>
      <w:rFonts w:asciiTheme="majorHAnsi" w:eastAsiaTheme="majorEastAsia" w:hAnsiTheme="majorHAnsi" w:cstheme="majorBidi"/>
      <w:b/>
      <w:bCs/>
      <w:color w:val="5B9BD5" w:themeColor="accent1"/>
    </w:rPr>
  </w:style>
  <w:style w:type="character" w:customStyle="1" w:styleId="40">
    <w:name w:val="Заглавие 4 Знак"/>
    <w:basedOn w:val="a0"/>
    <w:link w:val="4"/>
    <w:uiPriority w:val="9"/>
    <w:semiHidden/>
    <w:rsid w:val="004E655E"/>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4E655E"/>
    <w:pPr>
      <w:tabs>
        <w:tab w:val="center" w:pos="4536"/>
        <w:tab w:val="right" w:pos="9072"/>
      </w:tabs>
      <w:spacing w:after="0" w:line="240" w:lineRule="auto"/>
    </w:pPr>
  </w:style>
  <w:style w:type="character" w:customStyle="1" w:styleId="a4">
    <w:name w:val="Горен колонтитул Знак"/>
    <w:basedOn w:val="a0"/>
    <w:link w:val="a3"/>
    <w:uiPriority w:val="99"/>
    <w:rsid w:val="004E655E"/>
  </w:style>
  <w:style w:type="paragraph" w:styleId="a5">
    <w:name w:val="footer"/>
    <w:basedOn w:val="a"/>
    <w:link w:val="a6"/>
    <w:uiPriority w:val="99"/>
    <w:unhideWhenUsed/>
    <w:rsid w:val="004E655E"/>
    <w:pPr>
      <w:tabs>
        <w:tab w:val="center" w:pos="4536"/>
        <w:tab w:val="right" w:pos="9072"/>
      </w:tabs>
      <w:spacing w:after="0" w:line="240" w:lineRule="auto"/>
    </w:pPr>
  </w:style>
  <w:style w:type="character" w:customStyle="1" w:styleId="a6">
    <w:name w:val="Долен колонтитул Знак"/>
    <w:basedOn w:val="a0"/>
    <w:link w:val="a5"/>
    <w:uiPriority w:val="99"/>
    <w:rsid w:val="004E655E"/>
  </w:style>
  <w:style w:type="paragraph" w:styleId="a7">
    <w:name w:val="Balloon Text"/>
    <w:basedOn w:val="a"/>
    <w:link w:val="a8"/>
    <w:uiPriority w:val="99"/>
    <w:semiHidden/>
    <w:unhideWhenUsed/>
    <w:rsid w:val="004E655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E655E"/>
    <w:rPr>
      <w:rFonts w:ascii="Tahoma" w:hAnsi="Tahoma" w:cs="Tahoma"/>
      <w:sz w:val="16"/>
      <w:szCs w:val="16"/>
    </w:rPr>
  </w:style>
  <w:style w:type="table" w:styleId="a9">
    <w:name w:val="Table Grid"/>
    <w:basedOn w:val="a1"/>
    <w:uiPriority w:val="59"/>
    <w:rsid w:val="004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4E655E"/>
    <w:pPr>
      <w:outlineLvl w:val="9"/>
    </w:pPr>
    <w:rPr>
      <w:rFonts w:asciiTheme="majorHAnsi" w:hAnsiTheme="majorHAnsi"/>
      <w:color w:val="2E74B5" w:themeColor="accent1" w:themeShade="BF"/>
      <w:sz w:val="28"/>
      <w:lang w:val="en-US" w:eastAsia="ja-JP"/>
    </w:rPr>
  </w:style>
  <w:style w:type="paragraph" w:styleId="11">
    <w:name w:val="toc 1"/>
    <w:basedOn w:val="a"/>
    <w:next w:val="a"/>
    <w:autoRedefine/>
    <w:uiPriority w:val="39"/>
    <w:unhideWhenUsed/>
    <w:rsid w:val="004E655E"/>
    <w:pPr>
      <w:tabs>
        <w:tab w:val="right" w:leader="dot" w:pos="9062"/>
      </w:tabs>
      <w:spacing w:after="100"/>
    </w:pPr>
    <w:rPr>
      <w:rFonts w:ascii="Times New Roman" w:hAnsi="Times New Roman" w:cs="Times New Roman"/>
      <w:noProof/>
      <w:sz w:val="24"/>
      <w:szCs w:val="24"/>
    </w:rPr>
  </w:style>
  <w:style w:type="character" w:styleId="ab">
    <w:name w:val="Hyperlink"/>
    <w:basedOn w:val="a0"/>
    <w:uiPriority w:val="99"/>
    <w:unhideWhenUsed/>
    <w:rsid w:val="004E655E"/>
    <w:rPr>
      <w:color w:val="0563C1" w:themeColor="hyperlink"/>
      <w:u w:val="single"/>
    </w:rPr>
  </w:style>
  <w:style w:type="paragraph" w:styleId="ac">
    <w:name w:val="annotation text"/>
    <w:basedOn w:val="a"/>
    <w:link w:val="ad"/>
    <w:uiPriority w:val="99"/>
    <w:semiHidden/>
    <w:unhideWhenUsed/>
    <w:rsid w:val="004E655E"/>
    <w:pPr>
      <w:spacing w:line="240" w:lineRule="auto"/>
    </w:pPr>
    <w:rPr>
      <w:sz w:val="20"/>
      <w:szCs w:val="20"/>
    </w:rPr>
  </w:style>
  <w:style w:type="character" w:customStyle="1" w:styleId="ad">
    <w:name w:val="Текст на коментар Знак"/>
    <w:basedOn w:val="a0"/>
    <w:link w:val="ac"/>
    <w:uiPriority w:val="99"/>
    <w:semiHidden/>
    <w:rsid w:val="004E655E"/>
    <w:rPr>
      <w:sz w:val="20"/>
      <w:szCs w:val="20"/>
    </w:rPr>
  </w:style>
  <w:style w:type="character" w:styleId="ae">
    <w:name w:val="annotation reference"/>
    <w:basedOn w:val="a0"/>
    <w:uiPriority w:val="99"/>
    <w:unhideWhenUsed/>
    <w:rsid w:val="004E655E"/>
    <w:rPr>
      <w:sz w:val="16"/>
      <w:szCs w:val="16"/>
    </w:rPr>
  </w:style>
  <w:style w:type="table" w:customStyle="1" w:styleId="12">
    <w:name w:val="Мрежа в таблица1"/>
    <w:basedOn w:val="a1"/>
    <w:next w:val="a9"/>
    <w:uiPriority w:val="59"/>
    <w:rsid w:val="004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59"/>
    <w:rsid w:val="004E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4E655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basedOn w:val="a"/>
    <w:uiPriority w:val="34"/>
    <w:qFormat/>
    <w:rsid w:val="004E655E"/>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4E655E"/>
  </w:style>
  <w:style w:type="paragraph" w:styleId="af1">
    <w:name w:val="annotation subject"/>
    <w:basedOn w:val="ac"/>
    <w:next w:val="ac"/>
    <w:link w:val="af2"/>
    <w:uiPriority w:val="99"/>
    <w:semiHidden/>
    <w:unhideWhenUsed/>
    <w:rsid w:val="004E655E"/>
    <w:rPr>
      <w:b/>
      <w:bCs/>
    </w:rPr>
  </w:style>
  <w:style w:type="character" w:customStyle="1" w:styleId="af2">
    <w:name w:val="Предмет на коментар Знак"/>
    <w:basedOn w:val="ad"/>
    <w:link w:val="af1"/>
    <w:uiPriority w:val="99"/>
    <w:semiHidden/>
    <w:rsid w:val="004E655E"/>
    <w:rPr>
      <w:b/>
      <w:bCs/>
      <w:sz w:val="20"/>
      <w:szCs w:val="20"/>
    </w:rPr>
  </w:style>
  <w:style w:type="paragraph" w:styleId="af3">
    <w:name w:val="footnote text"/>
    <w:basedOn w:val="a"/>
    <w:link w:val="af4"/>
    <w:uiPriority w:val="99"/>
    <w:semiHidden/>
    <w:unhideWhenUsed/>
    <w:rsid w:val="004E655E"/>
    <w:pPr>
      <w:spacing w:after="0" w:line="240" w:lineRule="auto"/>
    </w:pPr>
    <w:rPr>
      <w:sz w:val="20"/>
      <w:szCs w:val="20"/>
    </w:rPr>
  </w:style>
  <w:style w:type="character" w:customStyle="1" w:styleId="af4">
    <w:name w:val="Текст под линия Знак"/>
    <w:basedOn w:val="a0"/>
    <w:link w:val="af3"/>
    <w:uiPriority w:val="99"/>
    <w:semiHidden/>
    <w:rsid w:val="004E655E"/>
    <w:rPr>
      <w:sz w:val="20"/>
      <w:szCs w:val="20"/>
    </w:rPr>
  </w:style>
  <w:style w:type="character" w:styleId="af5">
    <w:name w:val="footnote reference"/>
    <w:aliases w:val="Footnote,Footnote symbol,Char Char Char Char Char,Знак Char Char Char Char,Char1 Char Char Char Char"/>
    <w:uiPriority w:val="99"/>
    <w:semiHidden/>
    <w:rsid w:val="004E655E"/>
    <w:rPr>
      <w:rFonts w:cs="Times New Roman"/>
      <w:vertAlign w:val="superscript"/>
    </w:rPr>
  </w:style>
  <w:style w:type="paragraph" w:styleId="af6">
    <w:name w:val="Body Text"/>
    <w:basedOn w:val="a"/>
    <w:link w:val="af7"/>
    <w:uiPriority w:val="1"/>
    <w:qFormat/>
    <w:rsid w:val="004E655E"/>
    <w:pPr>
      <w:widowControl w:val="0"/>
      <w:autoSpaceDE w:val="0"/>
      <w:autoSpaceDN w:val="0"/>
      <w:spacing w:after="0" w:line="240" w:lineRule="auto"/>
      <w:ind w:left="253"/>
    </w:pPr>
    <w:rPr>
      <w:rFonts w:ascii="Times New Roman" w:eastAsia="Times New Roman" w:hAnsi="Times New Roman" w:cs="Times New Roman"/>
      <w:sz w:val="24"/>
      <w:szCs w:val="24"/>
      <w:lang w:eastAsia="bg-BG" w:bidi="bg-BG"/>
    </w:rPr>
  </w:style>
  <w:style w:type="character" w:customStyle="1" w:styleId="af7">
    <w:name w:val="Основен текст Знак"/>
    <w:basedOn w:val="a0"/>
    <w:link w:val="af6"/>
    <w:uiPriority w:val="1"/>
    <w:rsid w:val="004E655E"/>
    <w:rPr>
      <w:rFonts w:ascii="Times New Roman" w:eastAsia="Times New Roman" w:hAnsi="Times New Roman" w:cs="Times New Roman"/>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006&amp;Type=201/" TargetMode="External"/><Relationship Id="rId18" Type="http://schemas.openxmlformats.org/officeDocument/2006/relationships/hyperlink" Target="apis://Base=APEV&amp;CELEX=32013R1306&amp;ToPar=Art2_Par2&amp;Type=201/" TargetMode="External"/><Relationship Id="rId26" Type="http://schemas.openxmlformats.org/officeDocument/2006/relationships/hyperlink" Target="apis://Base=NARH&amp;DocCode=83966&amp;ToPar=Art13_Al1&amp;Type=201" TargetMode="External"/><Relationship Id="rId39" Type="http://schemas.openxmlformats.org/officeDocument/2006/relationships/header" Target="header3.xml"/><Relationship Id="rId21" Type="http://schemas.openxmlformats.org/officeDocument/2006/relationships/hyperlink" Target="apis://Base=NARH&amp;DocCode=86925&amp;Type=201/" TargetMode="External"/><Relationship Id="rId34" Type="http://schemas.openxmlformats.org/officeDocument/2006/relationships/hyperlink" Target="apis://Base=NARH&amp;DocCode=40006&amp;Type=2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NARH&amp;DocCode=41765&amp;ToPar=Art6&amp;Type=201/" TargetMode="External"/><Relationship Id="rId20" Type="http://schemas.openxmlformats.org/officeDocument/2006/relationships/hyperlink" Target="apis://Base=APEV&amp;CELEX=32014R0809&amp;Type=201/" TargetMode="External"/><Relationship Id="rId29" Type="http://schemas.openxmlformats.org/officeDocument/2006/relationships/hyperlink" Target="apis://Base=APEV&amp;CELEX=32006R1083&amp;Type=2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apis://Base=NARH&amp;DocCode=40193&amp;Type=201" TargetMode="External"/><Relationship Id="rId32" Type="http://schemas.openxmlformats.org/officeDocument/2006/relationships/hyperlink" Target="apis://Base=NARH&amp;DocCode=40006&amp;Type=201/"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41765&amp;ToPar=Art5&amp;Type=201/" TargetMode="External"/><Relationship Id="rId23" Type="http://schemas.openxmlformats.org/officeDocument/2006/relationships/hyperlink" Target="apis://Base=NARH&amp;DocCode=4168&amp;Type=201" TargetMode="External"/><Relationship Id="rId28" Type="http://schemas.openxmlformats.org/officeDocument/2006/relationships/hyperlink" Target="apis://Base=APEV&amp;CELEX=32013R1303&amp;ToPar=Art65_Par11&amp;Type=201" TargetMode="External"/><Relationship Id="rId36" Type="http://schemas.openxmlformats.org/officeDocument/2006/relationships/header" Target="header1.xm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NARH&amp;DocCode=4499&amp;ToPar=Art2_Al1&amp;Type=201/" TargetMode="External"/><Relationship Id="rId31" Type="http://schemas.openxmlformats.org/officeDocument/2006/relationships/hyperlink" Target="apis://Base=NARH&amp;DocCode=41765&amp;Type=201/" TargetMode="Externa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apis://Base=NARH&amp;DocCode=40197&amp;Type=201" TargetMode="External"/><Relationship Id="rId27" Type="http://schemas.openxmlformats.org/officeDocument/2006/relationships/hyperlink" Target="apis://Base=NARH&amp;DocCode=83846&amp;ToPar=Art4&amp;Type=201" TargetMode="External"/><Relationship Id="rId30" Type="http://schemas.openxmlformats.org/officeDocument/2006/relationships/hyperlink" Target="apis://Base=NORM&amp;DocCode=40144&amp;ToPar=Art19&amp;Type=201/" TargetMode="External"/><Relationship Id="rId35" Type="http://schemas.openxmlformats.org/officeDocument/2006/relationships/hyperlink" Target="apis://Base=NARH&amp;DocCode=83966&amp;ToPar=Art13_Al1&amp;Type=201" TargetMode="External"/><Relationship Id="rId8" Type="http://schemas.openxmlformats.org/officeDocument/2006/relationships/hyperlink" Target="apis://Base=APEV&amp;CELEX=32013R1305&amp;ToPar=Art63&amp;Type=201/" TargetMode="External"/><Relationship Id="rId3" Type="http://schemas.openxmlformats.org/officeDocument/2006/relationships/styles" Target="styles.xml"/><Relationship Id="rId12" Type="http://schemas.openxmlformats.org/officeDocument/2006/relationships/hyperlink" Target="apis://Base=APEV&amp;CELEX=32013R1306&amp;ToPar=Art60&amp;Type=201/" TargetMode="External"/><Relationship Id="rId17" Type="http://schemas.openxmlformats.org/officeDocument/2006/relationships/hyperlink" Target="apis://Base=NARH&amp;DocCode=41765&amp;Type=201/" TargetMode="External"/><Relationship Id="rId25" Type="http://schemas.openxmlformats.org/officeDocument/2006/relationships/hyperlink" Target="apis://Base=NARH&amp;DocCode=40830&amp;Type=201" TargetMode="External"/><Relationship Id="rId33" Type="http://schemas.openxmlformats.org/officeDocument/2006/relationships/hyperlink" Target="apis://Base=NARH&amp;DocCode=85477&amp;Type=201/"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gchirpan@abv.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FCF4-C5F6-4586-86BD-B74A8C76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19673</Words>
  <Characters>112142</Characters>
  <Application>Microsoft Office Word</Application>
  <DocSecurity>0</DocSecurity>
  <Lines>934</Lines>
  <Paragraphs>263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40</cp:revision>
  <cp:lastPrinted>2018-11-05T14:35:00Z</cp:lastPrinted>
  <dcterms:created xsi:type="dcterms:W3CDTF">2018-11-05T13:56:00Z</dcterms:created>
  <dcterms:modified xsi:type="dcterms:W3CDTF">2018-12-19T09:36:00Z</dcterms:modified>
</cp:coreProperties>
</file>