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8" w:rsidRPr="006C4798" w:rsidRDefault="006C4798" w:rsidP="006C4798">
      <w:pPr>
        <w:spacing w:after="160" w:line="259" w:lineRule="auto"/>
        <w:jc w:val="both"/>
      </w:pPr>
      <w:bookmarkStart w:id="0" w:name="_GoBack"/>
      <w:bookmarkEnd w:id="0"/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МЕСТНА ИНИЦИАТИВНА ГРУПА</w:t>
      </w:r>
    </w:p>
    <w:p w:rsidR="006C4798" w:rsidRPr="006C4798" w:rsidRDefault="00EE64E3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="006C4798"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ЛУКОВИТ  - РОМАН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</w:t>
      </w:r>
      <w:r w:rsidR="00124082" w:rsidRPr="006C4798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-</w:t>
      </w:r>
      <w:r w:rsidR="00124082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2.</w:t>
      </w:r>
      <w:r w:rsidR="00F3547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100</w:t>
      </w:r>
    </w:p>
    <w:p w:rsidR="004504AD" w:rsidRPr="006C4798" w:rsidRDefault="004504AD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МИГ Луковит-Роман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6C4798">
        <w:rPr>
          <w:rFonts w:ascii="Times New Roman" w:eastAsia="Times New Roman" w:hAnsi="Times New Roman" w:cs="Times New Roman"/>
          <w:b/>
          <w:bCs/>
          <w:color w:val="548DD4"/>
          <w:sz w:val="24"/>
          <w:szCs w:val="20"/>
        </w:rPr>
        <w:t>„Подобряване на производствения капацитет в малки и средни предприятия в общините Луковит и Роман“</w:t>
      </w:r>
    </w:p>
    <w:p w:rsidR="006C4798" w:rsidRPr="006C4798" w:rsidRDefault="006C4798" w:rsidP="006C4798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798" w:rsidRPr="006C4798" w:rsidRDefault="006C4798" w:rsidP="006C4798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6C47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47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E64E3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подхода Водено от общностите местно развитие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4798" w:rsidRDefault="006C4798" w:rsidP="006C4798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:rsidR="00EE64E3" w:rsidRPr="00EE64E3" w:rsidRDefault="00EE64E3" w:rsidP="006C4798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Инвестиционен приоритет 2.2.: „Капацитет за растеж на МСП“ от ОПИК</w:t>
      </w: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Повишаване на производителността на малките и средни предприятия /МСП/ от територията на МИГ </w:t>
      </w:r>
      <w:r w:rsidR="008A2C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Луковит </w:t>
      </w:r>
      <w:r w:rsidR="008A2C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  <w:r w:rsidR="008A2C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 чрез насърчаване на инвестициите в съвременни технологии и оборудване и създаването на устойчиви предприятия, които да осигуряват заетост на местното население и възможности за повишаване на доходите му. Ускоряване темпа на растеж (осигуряване на „догонващ растеж) и увеличаване на експортния потенциал на местите МСП.</w:t>
      </w: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6C4798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6C4798" w:rsidRPr="006C4798" w:rsidRDefault="006C4798" w:rsidP="006C4798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Процедура за подбор на проекти за изпълнение на мярка </w:t>
      </w:r>
      <w:r w:rsidRPr="006C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ОПИК - ППК - ПОДОБРЯВАНЕ НА ПРОИЗВОДСТВЕНИЯ КАПАЦИТЕТ В МАЛКИ И СРЕДНИ ПРЕДПРИЯТИЯ</w:t>
      </w: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95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общините </w:t>
      </w: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Луковит </w:t>
      </w:r>
      <w:r w:rsidR="00595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Роман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r w:rsidR="00CE3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 краен срок </w:t>
      </w:r>
      <w:r w:rsidRPr="006C47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кандидатстване.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Малки или средни предприятия</w:t>
      </w:r>
      <w:r w:rsidR="00450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</w:t>
      </w:r>
      <w:r w:rsidRPr="006C4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територията на общините Луковит и Роман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04AD" w:rsidRPr="004504AD" w:rsidRDefault="004504AD" w:rsidP="004504AD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:rsidR="004504AD" w:rsidRPr="004504AD" w:rsidRDefault="004504AD" w:rsidP="004504AD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4504AD" w:rsidRPr="004504AD" w:rsidRDefault="004504AD" w:rsidP="004504AD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:rsidR="004504AD" w:rsidRPr="004504AD" w:rsidRDefault="004504AD" w:rsidP="004504AD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Кандидатите трябва да извършват своята дейност на територията на МИГ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Луковит-Роман.</w:t>
      </w:r>
    </w:p>
    <w:p w:rsidR="004504AD" w:rsidRPr="004504AD" w:rsidRDefault="004504AD" w:rsidP="004504AD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504A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798">
        <w:rPr>
          <w:rFonts w:ascii="Times New Roman" w:hAnsi="Times New Roman" w:cs="Times New Roman"/>
          <w:b/>
          <w:bCs/>
          <w:sz w:val="24"/>
          <w:szCs w:val="24"/>
        </w:rPr>
        <w:t>Допустими по процедурата са дейности, свързани с: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798">
        <w:rPr>
          <w:rFonts w:ascii="Times New Roman" w:hAnsi="Times New Roman" w:cs="Times New Roman"/>
          <w:b/>
          <w:bCs/>
          <w:sz w:val="24"/>
          <w:szCs w:val="24"/>
        </w:rPr>
        <w:t>1.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1.1. повишаване на производителността; и/или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1.2.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1.3. подобряване на производствените процеси чрез инвестиции в дълготрайни материални и нематериални активи; и/или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1.4.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др; и/или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1.5.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98">
        <w:rPr>
          <w:rFonts w:ascii="Times New Roman" w:hAnsi="Times New Roman" w:cs="Times New Roman"/>
          <w:bCs/>
          <w:sz w:val="24"/>
          <w:szCs w:val="24"/>
        </w:rPr>
        <w:t>1.6. диверсификация на дейността чрез разнообразяване на портфолиото на предприятията и достъп до пазари.</w:t>
      </w:r>
    </w:p>
    <w:p w:rsidR="006C4798" w:rsidRPr="006C4798" w:rsidRDefault="006C4798" w:rsidP="006C4798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AD" w:rsidRPr="004504AD" w:rsidRDefault="004504AD" w:rsidP="004504AD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4798" w:rsidRPr="006C4798" w:rsidRDefault="00EB3B12" w:rsidP="006C4798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5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798" w:rsidRPr="006C47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C4798" w:rsidRPr="006C4798">
        <w:rPr>
          <w:rFonts w:ascii="Times New Roman" w:hAnsi="Times New Roman" w:cs="Times New Roman"/>
          <w:b/>
          <w:sz w:val="24"/>
          <w:szCs w:val="24"/>
        </w:rPr>
        <w:t xml:space="preserve"> Дейности за информиране и публичност  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4798">
        <w:rPr>
          <w:rFonts w:ascii="Times New Roman" w:hAnsi="Times New Roman" w:cs="Times New Roman"/>
          <w:sz w:val="24"/>
          <w:szCs w:val="24"/>
        </w:rPr>
        <w:t>Пълният   набор   от   мерки   за   информиране   и   публичност   (визуализация),   които бенефициентите трябва да прилагат при изпълнение на проекти</w:t>
      </w:r>
      <w:r w:rsidR="004C51B3">
        <w:rPr>
          <w:rFonts w:ascii="Times New Roman" w:hAnsi="Times New Roman" w:cs="Times New Roman"/>
          <w:sz w:val="24"/>
          <w:szCs w:val="24"/>
        </w:rPr>
        <w:t>,</w:t>
      </w:r>
      <w:r w:rsidRPr="006C4798">
        <w:rPr>
          <w:rFonts w:ascii="Times New Roman" w:hAnsi="Times New Roman" w:cs="Times New Roman"/>
          <w:sz w:val="24"/>
          <w:szCs w:val="24"/>
        </w:rPr>
        <w:t xml:space="preserve">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</w:t>
      </w:r>
      <w:r w:rsidRPr="006C4798">
        <w:rPr>
          <w:rFonts w:ascii="Times New Roman" w:hAnsi="Times New Roman" w:cs="Times New Roman"/>
          <w:sz w:val="24"/>
          <w:szCs w:val="24"/>
        </w:rPr>
        <w:lastRenderedPageBreak/>
        <w:t xml:space="preserve">страницата на Управляващия орган: </w:t>
      </w:r>
      <w:hyperlink r:id="rId8" w:history="1">
        <w:r w:rsidR="004504AD" w:rsidRPr="006B23C6">
          <w:rPr>
            <w:rStyle w:val="ad"/>
            <w:rFonts w:ascii="Times New Roman" w:hAnsi="Times New Roman" w:cs="Times New Roman"/>
            <w:sz w:val="24"/>
            <w:szCs w:val="24"/>
          </w:rPr>
          <w:t>http://www.opcompetitiveness.bg/module3.php?menu_id=359</w:t>
        </w:r>
      </w:hyperlink>
    </w:p>
    <w:p w:rsidR="004504AD" w:rsidRDefault="004504AD" w:rsidP="006C4798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4AD" w:rsidRPr="004504AD" w:rsidRDefault="004504AD" w:rsidP="004504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4AD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4504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4504AD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4504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r w:rsidRPr="004504AD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4504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4504AD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:rsidR="004504AD" w:rsidRPr="006C4798" w:rsidRDefault="004504AD" w:rsidP="004504AD">
      <w:pPr>
        <w:spacing w:after="100" w:afterAutospacing="1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bg-BG"/>
        </w:rPr>
      </w:pPr>
    </w:p>
    <w:p w:rsidR="006C4798" w:rsidRPr="00725432" w:rsidRDefault="006C4798" w:rsidP="00725432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Прилага се процедура за подбор на проекти с </w:t>
      </w:r>
      <w:r w:rsidR="00725432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C51B3" w:rsidRPr="006C4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725432">
        <w:rPr>
          <w:rFonts w:ascii="Times New Roman" w:eastAsia="Times New Roman" w:hAnsi="Times New Roman" w:cs="Times New Roman"/>
          <w:sz w:val="24"/>
          <w:szCs w:val="24"/>
        </w:rPr>
        <w:t>ен срок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 за кандидатстване</w:t>
      </w:r>
      <w:r w:rsidR="007254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42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725432" w:rsidRPr="007254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542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725432" w:rsidRPr="00725432">
        <w:rPr>
          <w:rFonts w:ascii="Times New Roman" w:eastAsia="Times New Roman" w:hAnsi="Times New Roman" w:cs="Times New Roman"/>
          <w:b/>
          <w:sz w:val="24"/>
          <w:szCs w:val="24"/>
        </w:rPr>
        <w:t>.2021 г., 17:00 часа.</w:t>
      </w:r>
    </w:p>
    <w:p w:rsidR="006C4798" w:rsidRPr="006C4798" w:rsidRDefault="00725432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6C479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6C4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479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9" w:history="1">
        <w:r w:rsidRPr="006C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6C479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6C4798" w:rsidRPr="006C4798" w:rsidRDefault="00525684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Бюджетът по процедурата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</w:rPr>
        <w:t xml:space="preserve"> е:</w:t>
      </w:r>
      <w:r w:rsidR="006C4798" w:rsidRPr="006C4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432" w:rsidRPr="00725432">
        <w:rPr>
          <w:rFonts w:ascii="Times New Roman" w:eastAsia="Times New Roman" w:hAnsi="Times New Roman" w:cs="Times New Roman"/>
          <w:b/>
          <w:sz w:val="24"/>
          <w:szCs w:val="24"/>
        </w:rPr>
        <w:t>1 135 355,25 лв.</w:t>
      </w:r>
    </w:p>
    <w:p w:rsidR="006C4798" w:rsidRPr="006C4798" w:rsidRDefault="00725432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ФИНАНСОВИ ПАРАМЕТРИ.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Максималният интензитет на безвъзмездната финансова помощ </w:t>
      </w:r>
      <w:r w:rsidRPr="006C47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в зависимост от категорията на предприятието-кандидат е, както следва: 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•</w:t>
      </w:r>
      <w:r w:rsidRPr="006C4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C479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малки предприятия – 90 %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6C479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средни предприятия – 80 %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/>
          <w:bCs/>
          <w:sz w:val="24"/>
          <w:szCs w:val="24"/>
        </w:rPr>
        <w:t>Минимален и максимален размер на БФП по проект на малко предприятие: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>Минимален размер на безвъзмездната финансова помощ за проект е: 30 000 лева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Максимален размер на безвъзмездната финансова помощ: </w:t>
      </w:r>
      <w:r w:rsidR="00C55051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4504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 352 049,40 лева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>Минимален размер на общите допустими разходи за проект – 33 333,33 лева.</w:t>
      </w:r>
      <w:r w:rsidRPr="006C47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Максимален размер на общите допустими разходи за проект - </w:t>
      </w:r>
      <w:r w:rsidR="00C55051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4504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 391 166 лв.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Минимален и максимален размер на БФП по проект на средно предприятие: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>Минимален размер на безвъзмездната финансова помощ за проект е: 30 000 лева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>Максимален размер на безвъзмездната финансова помощ:</w:t>
      </w:r>
      <w:r w:rsidR="004504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5051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Pr="006C4798">
        <w:rPr>
          <w:rFonts w:ascii="Times New Roman" w:eastAsia="Calibri" w:hAnsi="Times New Roman" w:cs="Times New Roman"/>
          <w:bCs/>
          <w:sz w:val="24"/>
          <w:szCs w:val="24"/>
        </w:rPr>
        <w:t>312 932,80 лева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Минимален размер на общите допустими разходи за проект – 37 500 лева. </w:t>
      </w:r>
    </w:p>
    <w:p w:rsidR="006C4798" w:rsidRPr="006C4798" w:rsidRDefault="006C4798" w:rsidP="006C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798">
        <w:rPr>
          <w:rFonts w:ascii="Times New Roman" w:eastAsia="Calibri" w:hAnsi="Times New Roman" w:cs="Times New Roman"/>
          <w:bCs/>
          <w:sz w:val="24"/>
          <w:szCs w:val="24"/>
        </w:rPr>
        <w:t>Максимален размер на общите допустими разходи за проект -</w:t>
      </w:r>
      <w:r w:rsidR="004504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5051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Pr="006C4798">
        <w:rPr>
          <w:rFonts w:ascii="Times New Roman" w:eastAsia="Calibri" w:hAnsi="Times New Roman" w:cs="Times New Roman"/>
          <w:bCs/>
          <w:sz w:val="24"/>
          <w:szCs w:val="24"/>
        </w:rPr>
        <w:t xml:space="preserve"> 391 166 лв.</w:t>
      </w:r>
    </w:p>
    <w:p w:rsidR="006C4798" w:rsidRPr="006C4798" w:rsidRDefault="006C4798" w:rsidP="006C4798">
      <w:pPr>
        <w:widowControl w:val="0"/>
        <w:spacing w:after="0" w:line="23" w:lineRule="atLeast"/>
        <w:ind w:right="5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6C4798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МЯСТО ЗА ДОСТЪП ДО ПОДРОБНА ИНФОРМАЦИЯ</w:t>
      </w:r>
    </w:p>
    <w:p w:rsidR="006C4798" w:rsidRPr="006C4798" w:rsidRDefault="006C4798" w:rsidP="006C4798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е публикуван на следните интернет адреси:</w:t>
      </w:r>
    </w:p>
    <w:p w:rsidR="006C4798" w:rsidRPr="006C4798" w:rsidRDefault="006C4798" w:rsidP="006C4798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93A" w:rsidRDefault="006C4798" w:rsidP="004C793A">
      <w:pPr>
        <w:numPr>
          <w:ilvl w:val="0"/>
          <w:numId w:val="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Луковит-Роман“ - </w:t>
      </w:r>
      <w:hyperlink r:id="rId10" w:history="1">
        <w:r w:rsidR="004C793A" w:rsidRPr="007B6DD0">
          <w:rPr>
            <w:rStyle w:val="ad"/>
            <w:rFonts w:ascii="Times New Roman" w:hAnsi="Times New Roman" w:cs="Times New Roman"/>
            <w:sz w:val="24"/>
            <w:szCs w:val="24"/>
          </w:rPr>
          <w:t>http://mig-lr.eu/</w:t>
        </w:r>
      </w:hyperlink>
    </w:p>
    <w:p w:rsidR="006C4798" w:rsidRPr="004C793A" w:rsidRDefault="006C4798" w:rsidP="004C793A">
      <w:pPr>
        <w:tabs>
          <w:tab w:val="left" w:pos="142"/>
        </w:tabs>
        <w:snapToGrid w:val="0"/>
        <w:spacing w:after="0" w:line="23" w:lineRule="atLeast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798" w:rsidRPr="00DD5A1A" w:rsidRDefault="006C4798" w:rsidP="006C4798">
      <w:pPr>
        <w:numPr>
          <w:ilvl w:val="0"/>
          <w:numId w:val="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9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Информационната система за управление и наблюдение на средствата от ЕС в България (ИСУН 2020) - </w:t>
      </w:r>
      <w:hyperlink r:id="rId11" w:history="1">
        <w:r w:rsidRPr="006C479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https://eumis2020.government.bg</w:t>
        </w:r>
      </w:hyperlink>
    </w:p>
    <w:p w:rsidR="00DD5A1A" w:rsidRDefault="00DD5A1A" w:rsidP="00DD5A1A">
      <w:pPr>
        <w:pStyle w:val="a3"/>
      </w:pPr>
    </w:p>
    <w:p w:rsidR="00DD5A1A" w:rsidRPr="006C4798" w:rsidRDefault="00DD5A1A" w:rsidP="00DD5A1A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A1A" w:rsidRPr="006C4798" w:rsidRDefault="00DD5A1A" w:rsidP="00DD5A1A">
      <w:pPr>
        <w:tabs>
          <w:tab w:val="left" w:pos="142"/>
        </w:tabs>
        <w:snapToGrid w:val="0"/>
        <w:spacing w:after="0" w:line="23" w:lineRule="atLeast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798" w:rsidRPr="006C4798" w:rsidRDefault="006C4798" w:rsidP="006C4798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3F1" w:rsidRDefault="002733F1"/>
    <w:sectPr w:rsidR="002733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17" w:rsidRDefault="002B6417" w:rsidP="00FC6F7F">
      <w:pPr>
        <w:spacing w:after="0" w:line="240" w:lineRule="auto"/>
      </w:pPr>
      <w:r>
        <w:separator/>
      </w:r>
    </w:p>
  </w:endnote>
  <w:endnote w:type="continuationSeparator" w:id="0">
    <w:p w:rsidR="002B6417" w:rsidRDefault="002B6417" w:rsidP="00F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2C" w:rsidRDefault="005F472C" w:rsidP="005F472C">
    <w:pPr>
      <w:pStyle w:val="ab"/>
      <w:jc w:val="center"/>
      <w:rPr>
        <w:rFonts w:ascii="Times New Roman" w:hAnsi="Times New Roman" w:cs="Times New Roman"/>
        <w:i/>
      </w:rPr>
    </w:pPr>
  </w:p>
  <w:p w:rsidR="005F472C" w:rsidRDefault="005F472C" w:rsidP="005F472C">
    <w:pPr>
      <w:pStyle w:val="ab"/>
      <w:jc w:val="center"/>
      <w:rPr>
        <w:rFonts w:ascii="Times New Roman" w:hAnsi="Times New Roman" w:cs="Times New Roman"/>
        <w:i/>
      </w:rPr>
    </w:pPr>
  </w:p>
  <w:p w:rsidR="005F472C" w:rsidRPr="005F472C" w:rsidRDefault="005F472C" w:rsidP="005F472C">
    <w:pPr>
      <w:pStyle w:val="ab"/>
      <w:jc w:val="center"/>
      <w:rPr>
        <w:rFonts w:ascii="Times New Roman" w:hAnsi="Times New Roman" w:cs="Times New Roman"/>
        <w:i/>
      </w:rPr>
    </w:pPr>
    <w:r w:rsidRPr="005F472C">
      <w:rPr>
        <w:rFonts w:ascii="Times New Roman" w:hAnsi="Times New Roman" w:cs="Times New Roman"/>
        <w:i/>
      </w:rPr>
      <w:t>Сдружение „Местна инициативна група Луковит-Роман“</w:t>
    </w:r>
  </w:p>
  <w:p w:rsidR="005F472C" w:rsidRPr="005F472C" w:rsidRDefault="005F472C" w:rsidP="005F472C">
    <w:pPr>
      <w:pStyle w:val="ab"/>
      <w:jc w:val="center"/>
      <w:rPr>
        <w:rFonts w:ascii="Times New Roman" w:hAnsi="Times New Roman" w:cs="Times New Roman"/>
        <w:i/>
      </w:rPr>
    </w:pPr>
    <w:r w:rsidRPr="005F472C">
      <w:rPr>
        <w:rFonts w:ascii="Times New Roman" w:hAnsi="Times New Roman" w:cs="Times New Roman"/>
        <w:i/>
      </w:rPr>
      <w:t>гр. Луковит, ул. „Сан Стефано“ № 1, www. mig-lr.eu</w:t>
    </w:r>
  </w:p>
  <w:p w:rsidR="005F472C" w:rsidRDefault="005F472C">
    <w:pPr>
      <w:pStyle w:val="ab"/>
    </w:pPr>
  </w:p>
  <w:p w:rsidR="005F472C" w:rsidRDefault="005F47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17" w:rsidRDefault="002B6417" w:rsidP="00FC6F7F">
      <w:pPr>
        <w:spacing w:after="0" w:line="240" w:lineRule="auto"/>
      </w:pPr>
      <w:r>
        <w:separator/>
      </w:r>
    </w:p>
  </w:footnote>
  <w:footnote w:type="continuationSeparator" w:id="0">
    <w:p w:rsidR="002B6417" w:rsidRDefault="002B6417" w:rsidP="00F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BF" w:rsidRDefault="00C534BF">
    <w:pPr>
      <w:pStyle w:val="a9"/>
    </w:pPr>
  </w:p>
  <w:tbl>
    <w:tblPr>
      <w:tblW w:w="9998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998"/>
    </w:tblGrid>
    <w:tr w:rsidR="00C534BF" w:rsidRPr="00A650CA" w:rsidTr="0080627E">
      <w:trPr>
        <w:trHeight w:val="287"/>
      </w:trPr>
      <w:tc>
        <w:tcPr>
          <w:tcW w:w="9998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EFEFE"/>
          <w:tcMar>
            <w:top w:w="60" w:type="dxa"/>
            <w:bottom w:w="0" w:type="dxa"/>
          </w:tcMar>
          <w:vAlign w:val="center"/>
        </w:tcPr>
        <w:p w:rsidR="00C534BF" w:rsidRPr="00A650CA" w:rsidRDefault="00C534BF" w:rsidP="00C534BF">
          <w:pPr>
            <w:spacing w:before="120" w:after="0"/>
            <w:rPr>
              <w:rFonts w:ascii="Times New Roman" w:hAnsi="Times New Roman" w:cs="Times New Roman"/>
              <w:sz w:val="24"/>
              <w:szCs w:val="24"/>
              <w:shd w:val="clear" w:color="auto" w:fill="FEFEFE"/>
            </w:rPr>
          </w:pPr>
          <w:r w:rsidRPr="00A650CA">
            <w:rPr>
              <w:rFonts w:ascii="Times New Roman" w:hAnsi="Times New Roman" w:cs="Times New Roman"/>
              <w:sz w:val="24"/>
              <w:szCs w:val="24"/>
              <w:shd w:val="clear" w:color="auto" w:fill="FEFEFE"/>
            </w:rPr>
            <w:t> </w:t>
          </w:r>
          <w:r>
            <w:rPr>
              <w:rFonts w:ascii="Times New Roman" w:hAnsi="Times New Roman" w:cs="Times New Roman"/>
              <w:noProof/>
              <w:sz w:val="24"/>
              <w:szCs w:val="24"/>
              <w:shd w:val="clear" w:color="auto" w:fill="FEFEFE"/>
              <w:lang w:eastAsia="bg-BG"/>
            </w:rPr>
            <w:drawing>
              <wp:inline distT="0" distB="0" distL="0" distR="0" wp14:anchorId="58ADC84A" wp14:editId="1DE99A4C">
                <wp:extent cx="1676410" cy="1211580"/>
                <wp:effectExtent l="0" t="0" r="0" b="762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781" cy="1224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EFEFE"/>
            </w:rPr>
            <w:t xml:space="preserve">        </w:t>
          </w:r>
          <w:r>
            <w:rPr>
              <w:rFonts w:ascii="Times New Roman" w:hAnsi="Times New Roman" w:cs="Times New Roman"/>
              <w:noProof/>
              <w:sz w:val="24"/>
              <w:szCs w:val="24"/>
              <w:shd w:val="clear" w:color="auto" w:fill="FEFEFE"/>
              <w:lang w:eastAsia="bg-BG"/>
            </w:rPr>
            <w:drawing>
              <wp:inline distT="0" distB="0" distL="0" distR="0" wp14:anchorId="25D1202A" wp14:editId="62CBBAD4">
                <wp:extent cx="1200163" cy="1043462"/>
                <wp:effectExtent l="0" t="0" r="0" b="444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58" cy="1052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EFEFE"/>
            </w:rPr>
            <w:t xml:space="preserve">      </w:t>
          </w:r>
          <w:r>
            <w:rPr>
              <w:rFonts w:ascii="Times New Roman" w:hAnsi="Times New Roman" w:cs="Times New Roman"/>
              <w:noProof/>
              <w:sz w:val="24"/>
              <w:szCs w:val="24"/>
              <w:shd w:val="clear" w:color="auto" w:fill="FEFEFE"/>
              <w:lang w:eastAsia="bg-BG"/>
            </w:rPr>
            <w:drawing>
              <wp:inline distT="0" distB="0" distL="0" distR="0" wp14:anchorId="3CCB5379" wp14:editId="5F4E177B">
                <wp:extent cx="1134728" cy="950595"/>
                <wp:effectExtent l="0" t="0" r="8890" b="190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132" cy="966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EFEFE"/>
            </w:rPr>
            <w:t xml:space="preserve">       </w:t>
          </w:r>
          <w:r>
            <w:rPr>
              <w:rFonts w:ascii="Times New Roman" w:hAnsi="Times New Roman" w:cs="Times New Roman"/>
              <w:noProof/>
              <w:sz w:val="24"/>
              <w:szCs w:val="24"/>
              <w:shd w:val="clear" w:color="auto" w:fill="FEFEFE"/>
              <w:lang w:eastAsia="bg-BG"/>
            </w:rPr>
            <w:drawing>
              <wp:inline distT="0" distB="0" distL="0" distR="0" wp14:anchorId="51E7B14F" wp14:editId="408A058E">
                <wp:extent cx="1409065" cy="997159"/>
                <wp:effectExtent l="0" t="0" r="635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62" cy="1003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33A07" w:rsidRDefault="00533A07" w:rsidP="009631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902"/>
    <w:multiLevelType w:val="hybridMultilevel"/>
    <w:tmpl w:val="2A64C7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4BB2"/>
    <w:multiLevelType w:val="hybridMultilevel"/>
    <w:tmpl w:val="6FA0E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58B"/>
    <w:multiLevelType w:val="hybridMultilevel"/>
    <w:tmpl w:val="61BA7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436"/>
    <w:multiLevelType w:val="hybridMultilevel"/>
    <w:tmpl w:val="ACB8B7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C7AA5"/>
    <w:multiLevelType w:val="hybridMultilevel"/>
    <w:tmpl w:val="C5E2E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1"/>
    <w:rsid w:val="00005B3A"/>
    <w:rsid w:val="00005D12"/>
    <w:rsid w:val="0003286B"/>
    <w:rsid w:val="00053D7A"/>
    <w:rsid w:val="00080CBC"/>
    <w:rsid w:val="00124082"/>
    <w:rsid w:val="00183819"/>
    <w:rsid w:val="00185B5F"/>
    <w:rsid w:val="001A4AB6"/>
    <w:rsid w:val="001B0E6B"/>
    <w:rsid w:val="00250F1D"/>
    <w:rsid w:val="002733F1"/>
    <w:rsid w:val="002B13F5"/>
    <w:rsid w:val="002B6417"/>
    <w:rsid w:val="00300C21"/>
    <w:rsid w:val="00344D2A"/>
    <w:rsid w:val="00371877"/>
    <w:rsid w:val="00400E1B"/>
    <w:rsid w:val="004504AD"/>
    <w:rsid w:val="00452763"/>
    <w:rsid w:val="004566A2"/>
    <w:rsid w:val="00493B6E"/>
    <w:rsid w:val="004C51B3"/>
    <w:rsid w:val="004C793A"/>
    <w:rsid w:val="004D30AC"/>
    <w:rsid w:val="00525684"/>
    <w:rsid w:val="00533A07"/>
    <w:rsid w:val="00595C5E"/>
    <w:rsid w:val="005C3288"/>
    <w:rsid w:val="005D28E7"/>
    <w:rsid w:val="005F472C"/>
    <w:rsid w:val="00627033"/>
    <w:rsid w:val="00636EEB"/>
    <w:rsid w:val="006910B9"/>
    <w:rsid w:val="006C4798"/>
    <w:rsid w:val="00700FF4"/>
    <w:rsid w:val="00703D10"/>
    <w:rsid w:val="00725432"/>
    <w:rsid w:val="00764BF7"/>
    <w:rsid w:val="0077061B"/>
    <w:rsid w:val="00795037"/>
    <w:rsid w:val="008225FC"/>
    <w:rsid w:val="00854299"/>
    <w:rsid w:val="008A2CFF"/>
    <w:rsid w:val="008B5DC2"/>
    <w:rsid w:val="008D71E1"/>
    <w:rsid w:val="008F4EC3"/>
    <w:rsid w:val="00930C93"/>
    <w:rsid w:val="009527BF"/>
    <w:rsid w:val="0096312A"/>
    <w:rsid w:val="009764A2"/>
    <w:rsid w:val="00A11625"/>
    <w:rsid w:val="00A74805"/>
    <w:rsid w:val="00A74F6D"/>
    <w:rsid w:val="00AE65A1"/>
    <w:rsid w:val="00B647EC"/>
    <w:rsid w:val="00B874F8"/>
    <w:rsid w:val="00BA2D87"/>
    <w:rsid w:val="00C02DA7"/>
    <w:rsid w:val="00C40618"/>
    <w:rsid w:val="00C534BF"/>
    <w:rsid w:val="00C55051"/>
    <w:rsid w:val="00CC2FCF"/>
    <w:rsid w:val="00CE30EE"/>
    <w:rsid w:val="00D1082A"/>
    <w:rsid w:val="00D830EA"/>
    <w:rsid w:val="00DD5A1A"/>
    <w:rsid w:val="00DD651F"/>
    <w:rsid w:val="00DF3DB1"/>
    <w:rsid w:val="00E02122"/>
    <w:rsid w:val="00E16350"/>
    <w:rsid w:val="00EB3B12"/>
    <w:rsid w:val="00EE64E3"/>
    <w:rsid w:val="00F35470"/>
    <w:rsid w:val="00F61899"/>
    <w:rsid w:val="00F83D4E"/>
    <w:rsid w:val="00FA1A82"/>
    <w:rsid w:val="00FA6ECF"/>
    <w:rsid w:val="00FA74E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32643-3310-455D-B956-70404D7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6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FC6F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Fußnotentext arial,Podrozdział,stile 1,Footnote1,Footnote2,Footnote3,Footnote4,Footnote5,Footnote6,Footnote7,Footnote8,Footnote9,Footnote10,Footnote11,Footnote21,Footnote31,Footnote41,Footnote51,Footnote61,Footnote71,Footnote81"/>
    <w:basedOn w:val="a"/>
    <w:link w:val="a6"/>
    <w:uiPriority w:val="99"/>
    <w:unhideWhenUsed/>
    <w:rsid w:val="00FC6F7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Текст под линия Знак"/>
    <w:aliases w:val="Fußnotentext arial Знак,Podrozdział Знак,stile 1 Знак,Footnote1 Знак,Footnote2 Знак,Footnote3 Знак,Footnote4 Знак,Footnote5 Знак,Footnote6 Знак,Footnote7 Знак,Footnote8 Знак,Footnote9 Знак,Footnote10 Знак,Footnote11 Знак"/>
    <w:basedOn w:val="a0"/>
    <w:link w:val="a5"/>
    <w:uiPriority w:val="99"/>
    <w:rsid w:val="00FC6F7F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aliases w:val="SUPERS,Footnote,Footnote symbol,BVI fnr,Appel note de bas de p,Nota,(NECG) Footnote Reference,Voetnootverwijzing,ftref,Footnotes refss,Fussnota,Footnote reference number,Times 10 Point,Exposant 3 Point,EN Footnote Referen"/>
    <w:unhideWhenUsed/>
    <w:rsid w:val="00FC6F7F"/>
    <w:rPr>
      <w:vertAlign w:val="superscript"/>
    </w:rPr>
  </w:style>
  <w:style w:type="table" w:styleId="a8">
    <w:name w:val="Table Grid"/>
    <w:basedOn w:val="a1"/>
    <w:uiPriority w:val="59"/>
    <w:rsid w:val="00FC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3A0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rsid w:val="00533A07"/>
    <w:rPr>
      <w:rFonts w:eastAsiaTheme="minorEastAsia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5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33A07"/>
  </w:style>
  <w:style w:type="character" w:styleId="ad">
    <w:name w:val="Hyperlink"/>
    <w:basedOn w:val="a0"/>
    <w:uiPriority w:val="99"/>
    <w:unhideWhenUsed/>
    <w:rsid w:val="004C793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8A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ompetitiveness.bg/module3.php?menu_id=3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g-lr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4E67-3C02-498B-BEFF-B457197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Hadjieva</dc:creator>
  <cp:keywords/>
  <dc:description/>
  <cp:lastModifiedBy>User</cp:lastModifiedBy>
  <cp:revision>6</cp:revision>
  <cp:lastPrinted>2018-12-17T14:03:00Z</cp:lastPrinted>
  <dcterms:created xsi:type="dcterms:W3CDTF">2021-05-14T07:44:00Z</dcterms:created>
  <dcterms:modified xsi:type="dcterms:W3CDTF">2021-05-17T11:00:00Z</dcterms:modified>
</cp:coreProperties>
</file>