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opFromText="573" w:vertAnchor="page" w:horzAnchor="margin" w:tblpXSpec="center" w:tblpY="879"/>
        <w:tblOverlap w:val="never"/>
        <w:tblW w:w="10548" w:type="dxa"/>
        <w:tblLayout w:type="fixed"/>
        <w:tblLook w:val="01E0" w:firstRow="1" w:lastRow="1" w:firstColumn="1" w:lastColumn="1" w:noHBand="0" w:noVBand="0"/>
      </w:tblPr>
      <w:tblGrid>
        <w:gridCol w:w="2268"/>
        <w:gridCol w:w="5760"/>
        <w:gridCol w:w="2520"/>
      </w:tblGrid>
      <w:tr w:rsidR="008D3570" w:rsidRPr="001124A5" w:rsidTr="00904ACC">
        <w:trPr>
          <w:trHeight w:val="1610"/>
        </w:trPr>
        <w:tc>
          <w:tcPr>
            <w:tcW w:w="2268" w:type="dxa"/>
            <w:tcBorders>
              <w:bottom w:val="double" w:sz="4" w:space="0" w:color="99CC00"/>
            </w:tcBorders>
            <w:shd w:val="clear" w:color="auto" w:fill="auto"/>
          </w:tcPr>
          <w:p w:rsidR="008D3570" w:rsidRPr="001124A5" w:rsidRDefault="00BA47BB" w:rsidP="00904ACC">
            <w:pPr>
              <w:pStyle w:val="Header"/>
              <w:spacing w:before="60"/>
              <w:jc w:val="center"/>
              <w:rPr>
                <w:lang w:val="bg-BG"/>
              </w:rPr>
            </w:pPr>
            <w:r>
              <w:rPr>
                <w:noProof/>
                <w:lang w:val="en-US" w:eastAsia="en-US"/>
              </w:rPr>
              <w:drawing>
                <wp:inline distT="0" distB="0" distL="0" distR="0" wp14:anchorId="0BCE21B3" wp14:editId="7DEF8FB7">
                  <wp:extent cx="1354455" cy="1078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078230"/>
                          </a:xfrm>
                          <a:prstGeom prst="rect">
                            <a:avLst/>
                          </a:prstGeom>
                          <a:noFill/>
                          <a:ln>
                            <a:noFill/>
                          </a:ln>
                        </pic:spPr>
                      </pic:pic>
                    </a:graphicData>
                  </a:graphic>
                </wp:inline>
              </w:drawing>
            </w:r>
          </w:p>
          <w:p w:rsidR="008D3570" w:rsidRPr="001124A5" w:rsidRDefault="008D3570" w:rsidP="00904ACC">
            <w:pPr>
              <w:pStyle w:val="Header"/>
              <w:spacing w:after="40"/>
              <w:jc w:val="center"/>
              <w:rPr>
                <w:lang w:val="bg-BG"/>
              </w:rPr>
            </w:pPr>
            <w:r w:rsidRPr="001124A5">
              <w:rPr>
                <w:rFonts w:ascii="Arial" w:hAnsi="Arial" w:cs="Arial"/>
                <w:color w:val="F8C300"/>
                <w:lang w:val="bg-BG"/>
              </w:rPr>
              <w:t xml:space="preserve"> </w:t>
            </w:r>
          </w:p>
        </w:tc>
        <w:tc>
          <w:tcPr>
            <w:tcW w:w="5760" w:type="dxa"/>
            <w:tcBorders>
              <w:bottom w:val="double" w:sz="4" w:space="0" w:color="99CC00"/>
            </w:tcBorders>
            <w:shd w:val="clear" w:color="auto" w:fill="auto"/>
            <w:vAlign w:val="center"/>
          </w:tcPr>
          <w:p w:rsidR="00AB09E2" w:rsidRPr="001124A5" w:rsidRDefault="00AB09E2" w:rsidP="00904ACC">
            <w:pPr>
              <w:pStyle w:val="Header"/>
              <w:jc w:val="center"/>
              <w:rPr>
                <w:rFonts w:ascii="Arial Narrow" w:hAnsi="Arial Narrow" w:cs="Tahoma"/>
                <w:b/>
                <w:noProof/>
                <w:color w:val="808080"/>
                <w:spacing w:val="80"/>
                <w:sz w:val="24"/>
                <w:szCs w:val="24"/>
                <w:lang w:val="bg-BG" w:eastAsia="bg-BG"/>
              </w:rPr>
            </w:pPr>
            <w:r w:rsidRPr="001124A5">
              <w:rPr>
                <w:rFonts w:ascii="Arial Narrow" w:hAnsi="Arial Narrow" w:cs="Tahoma"/>
                <w:b/>
                <w:noProof/>
                <w:color w:val="808080"/>
                <w:spacing w:val="80"/>
                <w:sz w:val="24"/>
                <w:szCs w:val="24"/>
                <w:lang w:val="bg-BG" w:eastAsia="bg-BG"/>
              </w:rPr>
              <w:t>ОПЕРАТИВНА ПРОГРАМА</w:t>
            </w:r>
          </w:p>
          <w:p w:rsidR="008D3570" w:rsidRPr="001124A5" w:rsidRDefault="00AB09E2" w:rsidP="0047500E">
            <w:pPr>
              <w:pStyle w:val="Header"/>
              <w:jc w:val="center"/>
              <w:rPr>
                <w:rFonts w:ascii="Arial Narrow" w:hAnsi="Arial Narrow" w:cs="Tahoma"/>
                <w:b/>
                <w:noProof/>
                <w:color w:val="808080"/>
                <w:spacing w:val="80"/>
                <w:sz w:val="24"/>
                <w:szCs w:val="24"/>
                <w:lang w:val="bg-BG" w:eastAsia="bg-BG"/>
              </w:rPr>
            </w:pPr>
            <w:r w:rsidRPr="001124A5">
              <w:rPr>
                <w:rFonts w:ascii="Arial Narrow" w:hAnsi="Arial Narrow" w:cs="Tahoma"/>
                <w:b/>
                <w:noProof/>
                <w:color w:val="808080"/>
                <w:spacing w:val="80"/>
                <w:sz w:val="24"/>
                <w:szCs w:val="24"/>
                <w:lang w:val="bg-BG" w:eastAsia="bg-BG"/>
              </w:rPr>
              <w:t>“ОКОЛНА СРЕДА 20</w:t>
            </w:r>
            <w:r w:rsidR="0047500E" w:rsidRPr="001124A5">
              <w:rPr>
                <w:rFonts w:ascii="Arial Narrow" w:hAnsi="Arial Narrow" w:cs="Tahoma"/>
                <w:b/>
                <w:noProof/>
                <w:color w:val="808080"/>
                <w:spacing w:val="80"/>
                <w:sz w:val="24"/>
                <w:szCs w:val="24"/>
                <w:lang w:val="bg-BG" w:eastAsia="bg-BG"/>
              </w:rPr>
              <w:t>14</w:t>
            </w:r>
            <w:r w:rsidRPr="001124A5">
              <w:rPr>
                <w:rFonts w:ascii="Arial Narrow" w:hAnsi="Arial Narrow" w:cs="Tahoma"/>
                <w:b/>
                <w:noProof/>
                <w:color w:val="808080"/>
                <w:spacing w:val="80"/>
                <w:sz w:val="24"/>
                <w:szCs w:val="24"/>
                <w:lang w:val="bg-BG" w:eastAsia="bg-BG"/>
              </w:rPr>
              <w:t xml:space="preserve"> – 20</w:t>
            </w:r>
            <w:r w:rsidR="0047500E" w:rsidRPr="001124A5">
              <w:rPr>
                <w:rFonts w:ascii="Arial Narrow" w:hAnsi="Arial Narrow" w:cs="Tahoma"/>
                <w:b/>
                <w:noProof/>
                <w:color w:val="808080"/>
                <w:spacing w:val="80"/>
                <w:sz w:val="24"/>
                <w:szCs w:val="24"/>
                <w:lang w:val="bg-BG" w:eastAsia="bg-BG"/>
              </w:rPr>
              <w:t>20</w:t>
            </w:r>
            <w:r w:rsidRPr="001124A5">
              <w:rPr>
                <w:rFonts w:ascii="Arial Narrow" w:hAnsi="Arial Narrow" w:cs="Tahoma"/>
                <w:b/>
                <w:noProof/>
                <w:color w:val="808080"/>
                <w:spacing w:val="80"/>
                <w:sz w:val="24"/>
                <w:szCs w:val="24"/>
                <w:lang w:val="bg-BG" w:eastAsia="bg-BG"/>
              </w:rPr>
              <w:t xml:space="preserve"> г.”</w:t>
            </w:r>
          </w:p>
        </w:tc>
        <w:tc>
          <w:tcPr>
            <w:tcW w:w="2520" w:type="dxa"/>
            <w:tcBorders>
              <w:bottom w:val="double" w:sz="4" w:space="0" w:color="99CC00"/>
            </w:tcBorders>
            <w:shd w:val="clear" w:color="auto" w:fill="auto"/>
          </w:tcPr>
          <w:p w:rsidR="008D3570" w:rsidRPr="001124A5" w:rsidRDefault="00BA47BB" w:rsidP="00904ACC">
            <w:pPr>
              <w:pStyle w:val="Header"/>
              <w:spacing w:after="30"/>
              <w:jc w:val="center"/>
              <w:rPr>
                <w:rFonts w:ascii="Arial" w:hAnsi="Arial" w:cs="Arial"/>
                <w:lang w:val="bg-BG"/>
              </w:rPr>
            </w:pPr>
            <w:r>
              <w:rPr>
                <w:rFonts w:ascii="Arial" w:hAnsi="Arial" w:cs="Arial"/>
                <w:noProof/>
                <w:lang w:val="en-US" w:eastAsia="en-US"/>
              </w:rPr>
              <w:drawing>
                <wp:inline distT="0" distB="0" distL="0" distR="0" wp14:anchorId="6A694874" wp14:editId="640D7669">
                  <wp:extent cx="586740" cy="3879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387985"/>
                          </a:xfrm>
                          <a:prstGeom prst="rect">
                            <a:avLst/>
                          </a:prstGeom>
                          <a:noFill/>
                          <a:ln>
                            <a:noFill/>
                          </a:ln>
                        </pic:spPr>
                      </pic:pic>
                    </a:graphicData>
                  </a:graphic>
                </wp:inline>
              </w:drawing>
            </w:r>
          </w:p>
          <w:p w:rsidR="00D602E3" w:rsidRPr="001124A5" w:rsidRDefault="00D602E3" w:rsidP="00904ACC">
            <w:pPr>
              <w:jc w:val="center"/>
              <w:rPr>
                <w:rFonts w:ascii="Arial" w:hAnsi="Arial" w:cs="Arial"/>
                <w:color w:val="808080"/>
                <w:lang w:val="bg-BG"/>
              </w:rPr>
            </w:pPr>
            <w:r w:rsidRPr="001124A5">
              <w:rPr>
                <w:rFonts w:ascii="Arial" w:hAnsi="Arial" w:cs="Arial"/>
                <w:color w:val="808080"/>
                <w:lang w:val="bg-BG"/>
              </w:rPr>
              <w:t>Европейски съюз</w:t>
            </w:r>
          </w:p>
          <w:p w:rsidR="00D602E3" w:rsidRPr="001124A5" w:rsidRDefault="00D602E3" w:rsidP="00D865AE">
            <w:pPr>
              <w:jc w:val="center"/>
              <w:rPr>
                <w:rFonts w:ascii="Arial Narrow" w:hAnsi="Arial Narrow" w:cs="Tahoma"/>
                <w:b/>
                <w:noProof/>
                <w:color w:val="808080"/>
                <w:spacing w:val="80"/>
                <w:sz w:val="24"/>
                <w:szCs w:val="24"/>
                <w:lang w:val="bg-BG" w:eastAsia="bg-BG"/>
              </w:rPr>
            </w:pPr>
            <w:r w:rsidRPr="001124A5">
              <w:rPr>
                <w:rFonts w:ascii="Arial" w:hAnsi="Arial" w:cs="Arial"/>
                <w:color w:val="808080"/>
                <w:lang w:val="bg-BG"/>
              </w:rPr>
              <w:t xml:space="preserve">Европейски </w:t>
            </w:r>
            <w:r w:rsidR="00D865AE" w:rsidRPr="001124A5">
              <w:rPr>
                <w:rFonts w:ascii="Arial" w:hAnsi="Arial" w:cs="Arial"/>
                <w:color w:val="808080"/>
                <w:lang w:val="bg-BG"/>
              </w:rPr>
              <w:t>структурни и инвестиционни фондове</w:t>
            </w:r>
          </w:p>
        </w:tc>
      </w:tr>
      <w:tr w:rsidR="008D3570" w:rsidRPr="001124A5" w:rsidTr="00904ACC">
        <w:trPr>
          <w:trHeight w:val="528"/>
        </w:trPr>
        <w:tc>
          <w:tcPr>
            <w:tcW w:w="10548" w:type="dxa"/>
            <w:gridSpan w:val="3"/>
            <w:tcBorders>
              <w:top w:val="double" w:sz="4" w:space="0" w:color="99CC00"/>
            </w:tcBorders>
            <w:shd w:val="clear" w:color="auto" w:fill="auto"/>
          </w:tcPr>
          <w:p w:rsidR="00BF2BAB" w:rsidRPr="001124A5" w:rsidRDefault="00BF2BAB" w:rsidP="00BF2BAB">
            <w:pPr>
              <w:pStyle w:val="Header"/>
              <w:spacing w:before="120"/>
              <w:jc w:val="right"/>
              <w:rPr>
                <w:rFonts w:ascii="Arial Narrow" w:hAnsi="Arial Narrow" w:cs="Tahoma"/>
                <w:noProof/>
                <w:color w:val="808080"/>
                <w:spacing w:val="24"/>
                <w:lang w:val="bg-BG" w:eastAsia="bg-BG"/>
              </w:rPr>
            </w:pPr>
            <w:r w:rsidRPr="001124A5">
              <w:rPr>
                <w:rFonts w:ascii="Arial Narrow" w:hAnsi="Arial Narrow" w:cs="Tahoma"/>
                <w:noProof/>
                <w:color w:val="808080"/>
                <w:spacing w:val="24"/>
                <w:lang w:val="bg-BG" w:eastAsia="bg-BG"/>
              </w:rPr>
              <w:t>Главна дирекция “Оперативна програма околна среда”</w:t>
            </w:r>
          </w:p>
          <w:p w:rsidR="008D3570" w:rsidRPr="001124A5" w:rsidRDefault="00BF2BAB" w:rsidP="00BF2BAB">
            <w:pPr>
              <w:pStyle w:val="Header"/>
              <w:jc w:val="right"/>
              <w:rPr>
                <w:noProof/>
                <w:lang w:val="bg-BG" w:eastAsia="bg-BG"/>
              </w:rPr>
            </w:pPr>
            <w:r w:rsidRPr="001124A5">
              <w:rPr>
                <w:rFonts w:ascii="Arial Narrow" w:hAnsi="Arial Narrow" w:cs="Tahoma"/>
                <w:noProof/>
                <w:color w:val="808080"/>
                <w:spacing w:val="24"/>
                <w:lang w:val="bg-BG" w:eastAsia="bg-BG"/>
              </w:rPr>
              <w:t>ope@moew.government.bg</w:t>
            </w:r>
          </w:p>
        </w:tc>
      </w:tr>
    </w:tbl>
    <w:p w:rsidR="005A10AB" w:rsidRPr="005A10AB" w:rsidRDefault="005A10AB" w:rsidP="005A10AB">
      <w:pPr>
        <w:spacing w:after="200" w:line="276" w:lineRule="auto"/>
        <w:jc w:val="both"/>
        <w:rPr>
          <w:rFonts w:eastAsiaTheme="minorHAnsi"/>
          <w:sz w:val="24"/>
          <w:szCs w:val="24"/>
          <w:lang w:val="en-US" w:eastAsia="en-US"/>
        </w:rPr>
      </w:pPr>
    </w:p>
    <w:p w:rsidR="005A10AB" w:rsidRPr="005A10AB" w:rsidRDefault="005A10AB" w:rsidP="005A10AB">
      <w:pPr>
        <w:jc w:val="center"/>
        <w:rPr>
          <w:rFonts w:eastAsiaTheme="minorHAnsi"/>
          <w:b/>
          <w:color w:val="00B0F0"/>
          <w:sz w:val="24"/>
          <w:szCs w:val="24"/>
          <w:lang w:val="bg-BG" w:eastAsia="en-US"/>
        </w:rPr>
      </w:pPr>
      <w:r w:rsidRPr="005A10AB">
        <w:rPr>
          <w:rFonts w:eastAsiaTheme="minorHAnsi"/>
          <w:b/>
          <w:color w:val="00B0F0"/>
          <w:sz w:val="24"/>
          <w:szCs w:val="24"/>
          <w:lang w:val="bg-BG" w:eastAsia="en-US"/>
        </w:rPr>
        <w:t>У К А З А Н И Я</w:t>
      </w:r>
    </w:p>
    <w:p w:rsidR="005A10AB" w:rsidRDefault="005A10AB" w:rsidP="005A10AB">
      <w:pPr>
        <w:jc w:val="center"/>
        <w:rPr>
          <w:rFonts w:eastAsiaTheme="minorHAnsi"/>
          <w:b/>
          <w:color w:val="00B0F0"/>
          <w:sz w:val="24"/>
          <w:szCs w:val="24"/>
          <w:lang w:val="bg-BG" w:eastAsia="en-US"/>
        </w:rPr>
      </w:pPr>
      <w:r w:rsidRPr="005A10AB">
        <w:rPr>
          <w:rFonts w:eastAsiaTheme="minorHAnsi"/>
          <w:b/>
          <w:color w:val="00B0F0"/>
          <w:sz w:val="24"/>
          <w:szCs w:val="24"/>
          <w:lang w:val="bg-BG" w:eastAsia="en-US"/>
        </w:rPr>
        <w:t>за изготвяне на анализ за ефективност на централизиран или децентрализиран подход за изграждане на инфраструктура за управление на отпадъците</w:t>
      </w:r>
      <w:r w:rsidR="001F76F5">
        <w:rPr>
          <w:rFonts w:eastAsiaTheme="minorHAnsi"/>
          <w:b/>
          <w:color w:val="00B0F0"/>
          <w:sz w:val="24"/>
          <w:szCs w:val="24"/>
          <w:lang w:val="bg-BG" w:eastAsia="en-US"/>
        </w:rPr>
        <w:t xml:space="preserve"> към процедура </w:t>
      </w:r>
      <w:r w:rsidR="001F76F5" w:rsidRPr="001F76F5">
        <w:rPr>
          <w:rFonts w:eastAsiaTheme="minorHAnsi"/>
          <w:b/>
          <w:color w:val="00B0F0"/>
          <w:sz w:val="24"/>
          <w:szCs w:val="24"/>
          <w:lang w:val="bg-BG" w:eastAsia="en-US"/>
        </w:rPr>
        <w:t>„</w:t>
      </w:r>
      <w:r w:rsidR="001F76F5" w:rsidRPr="00C5686E">
        <w:rPr>
          <w:rFonts w:eastAsiaTheme="minorHAnsi"/>
          <w:b/>
          <w:i/>
          <w:color w:val="00B0F0"/>
          <w:sz w:val="24"/>
          <w:szCs w:val="24"/>
          <w:lang w:val="bg-BG" w:eastAsia="en-US"/>
        </w:rPr>
        <w:t xml:space="preserve">Комбинирана процедура за проектиране и изграждане на </w:t>
      </w:r>
      <w:proofErr w:type="spellStart"/>
      <w:r w:rsidR="001F76F5" w:rsidRPr="00C5686E">
        <w:rPr>
          <w:rFonts w:eastAsiaTheme="minorHAnsi"/>
          <w:b/>
          <w:i/>
          <w:color w:val="00B0F0"/>
          <w:sz w:val="24"/>
          <w:szCs w:val="24"/>
          <w:lang w:val="bg-BG" w:eastAsia="en-US"/>
        </w:rPr>
        <w:t>компостиращи</w:t>
      </w:r>
      <w:proofErr w:type="spellEnd"/>
      <w:r w:rsidR="001F76F5" w:rsidRPr="00C5686E">
        <w:rPr>
          <w:rFonts w:eastAsiaTheme="minorHAnsi"/>
          <w:b/>
          <w:i/>
          <w:color w:val="00B0F0"/>
          <w:sz w:val="24"/>
          <w:szCs w:val="24"/>
          <w:lang w:val="bg-BG" w:eastAsia="en-US"/>
        </w:rPr>
        <w:t xml:space="preserve"> инсталации и на инсталации за предварително третиране на битови отпадъци</w:t>
      </w:r>
      <w:r w:rsidR="001F76F5" w:rsidRPr="001F76F5">
        <w:rPr>
          <w:rFonts w:eastAsiaTheme="minorHAnsi"/>
          <w:b/>
          <w:color w:val="00B0F0"/>
          <w:sz w:val="24"/>
          <w:szCs w:val="24"/>
          <w:lang w:val="bg-BG" w:eastAsia="en-US"/>
        </w:rPr>
        <w:t>“</w:t>
      </w:r>
    </w:p>
    <w:p w:rsidR="001F76F5" w:rsidRPr="005A10AB" w:rsidRDefault="001F76F5" w:rsidP="005A10AB">
      <w:pPr>
        <w:jc w:val="center"/>
        <w:rPr>
          <w:rFonts w:eastAsiaTheme="minorHAnsi"/>
          <w:b/>
          <w:color w:val="00B0F0"/>
          <w:sz w:val="24"/>
          <w:szCs w:val="24"/>
          <w:lang w:val="bg-BG" w:eastAsia="en-US"/>
        </w:rPr>
      </w:pPr>
    </w:p>
    <w:p w:rsidR="005A10AB" w:rsidRPr="005A10AB" w:rsidRDefault="005A10AB" w:rsidP="005A10AB">
      <w:pPr>
        <w:spacing w:after="200" w:line="276" w:lineRule="auto"/>
        <w:jc w:val="both"/>
        <w:rPr>
          <w:rFonts w:eastAsiaTheme="minorHAnsi"/>
          <w:sz w:val="24"/>
          <w:szCs w:val="24"/>
          <w:lang w:val="bg-BG" w:eastAsia="en-US"/>
        </w:rPr>
      </w:pPr>
    </w:p>
    <w:p w:rsidR="005A10AB" w:rsidRPr="005A10AB" w:rsidRDefault="005A10AB" w:rsidP="005A10AB">
      <w:pPr>
        <w:spacing w:after="200" w:line="276" w:lineRule="auto"/>
        <w:jc w:val="both"/>
        <w:rPr>
          <w:rFonts w:eastAsiaTheme="minorHAnsi"/>
          <w:sz w:val="24"/>
          <w:szCs w:val="24"/>
          <w:lang w:val="bg-BG" w:eastAsia="en-US"/>
        </w:rPr>
      </w:pPr>
    </w:p>
    <w:p w:rsidR="005A10AB" w:rsidRPr="005A10AB" w:rsidRDefault="005A10AB" w:rsidP="005A10AB">
      <w:pPr>
        <w:spacing w:after="200" w:line="276" w:lineRule="auto"/>
        <w:jc w:val="both"/>
        <w:rPr>
          <w:rFonts w:eastAsiaTheme="minorHAnsi"/>
          <w:b/>
          <w:color w:val="00B0F0"/>
          <w:sz w:val="24"/>
          <w:szCs w:val="24"/>
          <w:lang w:val="bg-BG" w:eastAsia="en-US"/>
        </w:rPr>
      </w:pPr>
      <w:r w:rsidRPr="005A10AB">
        <w:rPr>
          <w:rFonts w:eastAsiaTheme="minorHAnsi"/>
          <w:b/>
          <w:color w:val="00B0F0"/>
          <w:sz w:val="24"/>
          <w:szCs w:val="24"/>
          <w:lang w:val="bg-BG" w:eastAsia="en-US"/>
        </w:rPr>
        <w:t>УВОД</w:t>
      </w:r>
    </w:p>
    <w:p w:rsidR="005A10AB" w:rsidRPr="005A10AB" w:rsidRDefault="005A10AB" w:rsidP="005A10AB">
      <w:pPr>
        <w:numPr>
          <w:ilvl w:val="0"/>
          <w:numId w:val="6"/>
        </w:numPr>
        <w:spacing w:after="200" w:line="276" w:lineRule="auto"/>
        <w:contextualSpacing/>
        <w:jc w:val="both"/>
        <w:rPr>
          <w:rFonts w:eastAsiaTheme="minorHAnsi"/>
          <w:b/>
          <w:i/>
          <w:sz w:val="24"/>
          <w:szCs w:val="24"/>
          <w:lang w:val="bg-BG" w:eastAsia="en-US"/>
        </w:rPr>
      </w:pPr>
      <w:r w:rsidRPr="005A10AB">
        <w:rPr>
          <w:rFonts w:eastAsiaTheme="minorHAnsi"/>
          <w:b/>
          <w:i/>
          <w:sz w:val="24"/>
          <w:szCs w:val="24"/>
          <w:lang w:val="bg-BG" w:eastAsia="en-US"/>
        </w:rPr>
        <w:t>Цел на указанията</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Заложените в националното законодателство цели, които във всеки един от регионите за управление на отпадъците трябва да бъдат изпълнени като минимум, са: </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1. най-късно до 1 януари 2020 г. 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 на не по-малко от 50 на сто от общото тегло на тези отпадъци;</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2. най-късно до 31 декември 2020 г. ограничаване на количеството депонирани биоразградими битови отпадъци до 35 на сто от общото количество на същите отпадъци, образувани в Република България през 1995 г.</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В </w:t>
      </w:r>
      <w:r w:rsidRPr="00521929">
        <w:rPr>
          <w:rFonts w:eastAsiaTheme="minorHAnsi"/>
          <w:i/>
          <w:color w:val="000000" w:themeColor="text1"/>
          <w:sz w:val="24"/>
          <w:szCs w:val="24"/>
          <w:lang w:val="bg-BG" w:eastAsia="en-US"/>
        </w:rPr>
        <w:t>Националния план за управление на отпадъците</w:t>
      </w:r>
      <w:r w:rsidRPr="005A10AB">
        <w:rPr>
          <w:rFonts w:eastAsiaTheme="minorHAnsi"/>
          <w:color w:val="000000" w:themeColor="text1"/>
          <w:sz w:val="24"/>
          <w:szCs w:val="24"/>
          <w:lang w:val="bg-BG" w:eastAsia="en-US"/>
        </w:rPr>
        <w:t xml:space="preserve"> (ПНУО) за периода 2014-2020 г. са разгледани 3 сценария за постигане на националните цели за управление на битовите отпадъци. Изрично е посочено в плана, че изборът на решение за прилагане на децентрализирано или централизирано </w:t>
      </w:r>
      <w:proofErr w:type="spellStart"/>
      <w:r w:rsidRPr="005A10AB">
        <w:rPr>
          <w:rFonts w:eastAsiaTheme="minorHAnsi"/>
          <w:color w:val="000000" w:themeColor="text1"/>
          <w:sz w:val="24"/>
          <w:szCs w:val="24"/>
          <w:lang w:val="bg-BG" w:eastAsia="en-US"/>
        </w:rPr>
        <w:t>компостиране</w:t>
      </w:r>
      <w:proofErr w:type="spellEnd"/>
      <w:r w:rsidRPr="005A10AB">
        <w:rPr>
          <w:rFonts w:eastAsiaTheme="minorHAnsi"/>
          <w:color w:val="000000" w:themeColor="text1"/>
          <w:sz w:val="24"/>
          <w:szCs w:val="24"/>
          <w:lang w:val="bg-BG" w:eastAsia="en-US"/>
        </w:rPr>
        <w:t xml:space="preserve">/анаеробно разграждане на ниво регион за управление на отпадъците, следва да бъде направен въз основа на анализ на възможните  алтернативи  и  сравнението  им  по  различни </w:t>
      </w:r>
      <w:r w:rsidRPr="005A10AB">
        <w:rPr>
          <w:rFonts w:eastAsiaTheme="minorHAnsi"/>
          <w:b/>
          <w:color w:val="000000" w:themeColor="text1"/>
          <w:sz w:val="24"/>
          <w:szCs w:val="24"/>
          <w:lang w:val="bg-BG" w:eastAsia="en-US"/>
        </w:rPr>
        <w:t>екологични, икономически и технически критерии</w:t>
      </w:r>
      <w:r w:rsidRPr="005A10AB">
        <w:rPr>
          <w:rFonts w:eastAsiaTheme="minorHAnsi"/>
          <w:color w:val="000000" w:themeColor="text1"/>
          <w:sz w:val="24"/>
          <w:szCs w:val="24"/>
          <w:lang w:val="bg-BG" w:eastAsia="en-US"/>
        </w:rPr>
        <w:t xml:space="preserve"> </w:t>
      </w:r>
      <w:r w:rsidRPr="005A10AB">
        <w:rPr>
          <w:rFonts w:eastAsiaTheme="minorHAnsi"/>
          <w:color w:val="000000" w:themeColor="text1"/>
          <w:sz w:val="24"/>
          <w:szCs w:val="24"/>
          <w:u w:val="single"/>
          <w:lang w:val="bg-BG" w:eastAsia="en-US"/>
        </w:rPr>
        <w:t xml:space="preserve">в рамките на съответните </w:t>
      </w:r>
      <w:proofErr w:type="spellStart"/>
      <w:r w:rsidRPr="005A10AB">
        <w:rPr>
          <w:rFonts w:eastAsiaTheme="minorHAnsi"/>
          <w:color w:val="000000" w:themeColor="text1"/>
          <w:sz w:val="24"/>
          <w:szCs w:val="24"/>
          <w:u w:val="single"/>
          <w:lang w:val="bg-BG" w:eastAsia="en-US"/>
        </w:rPr>
        <w:t>прединвестиционни</w:t>
      </w:r>
      <w:proofErr w:type="spellEnd"/>
      <w:r w:rsidRPr="005A10AB">
        <w:rPr>
          <w:rFonts w:eastAsiaTheme="minorHAnsi"/>
          <w:color w:val="000000" w:themeColor="text1"/>
          <w:sz w:val="24"/>
          <w:szCs w:val="24"/>
          <w:u w:val="single"/>
          <w:lang w:val="bg-BG" w:eastAsia="en-US"/>
        </w:rPr>
        <w:t xml:space="preserve"> проучвания</w:t>
      </w:r>
      <w:r w:rsidRPr="005A10AB">
        <w:rPr>
          <w:rFonts w:eastAsiaTheme="minorHAnsi"/>
          <w:color w:val="000000" w:themeColor="text1"/>
          <w:sz w:val="24"/>
          <w:szCs w:val="24"/>
          <w:lang w:val="bg-BG" w:eastAsia="en-US"/>
        </w:rPr>
        <w:t>.</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Заложените национални цели по отношение на управлението на битовите отпадъци се изпълнява</w:t>
      </w:r>
      <w:r w:rsidRPr="005A10AB">
        <w:rPr>
          <w:rFonts w:eastAsiaTheme="minorHAnsi"/>
          <w:sz w:val="24"/>
          <w:szCs w:val="24"/>
          <w:lang w:val="en-US" w:eastAsia="en-US"/>
        </w:rPr>
        <w:t xml:space="preserve"> </w:t>
      </w:r>
      <w:r w:rsidRPr="005A10AB">
        <w:rPr>
          <w:rFonts w:eastAsiaTheme="minorHAnsi"/>
          <w:sz w:val="24"/>
          <w:szCs w:val="24"/>
          <w:lang w:val="bg-BG" w:eastAsia="en-US"/>
        </w:rPr>
        <w:t xml:space="preserve">съвместно от всички общини в региона, в съответствие с решението на общото събрание на регионалното сдружение. </w:t>
      </w:r>
    </w:p>
    <w:p w:rsidR="003447EC" w:rsidRDefault="003447EC"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Кметът на всяка община има задължение да разработи и изпълнява програма за управление на отпадъците за територията на съответната община с период на действие, съответстващ на периода на действие на НПУО, който е от 2014 г. до 2020 г., включително. В общинските програми за управление на отпадъците трябва да се включат необходимите мерки за изпълнение на задълженията на кмета на община и изискванията на законодателството за управление на отпадъците. Кметовете на две или повече общини, включени в регион за управление на отпадъците, могат да разработят обща програма за </w:t>
      </w:r>
      <w:r w:rsidRPr="005A10AB">
        <w:rPr>
          <w:rFonts w:eastAsiaTheme="minorHAnsi"/>
          <w:sz w:val="24"/>
          <w:szCs w:val="24"/>
          <w:lang w:val="bg-BG" w:eastAsia="en-US"/>
        </w:rPr>
        <w:lastRenderedPageBreak/>
        <w:t xml:space="preserve">управление на отпадъците, в случай че задълженията, отговорностите и мерките, засягащи отделните общини, са ясно разграничени в програмата. </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Със Заповед № РД-211/ 31.03.2015 г. на министъра на околната среда са утвърдени „</w:t>
      </w:r>
      <w:r w:rsidRPr="005A10AB">
        <w:rPr>
          <w:rFonts w:eastAsiaTheme="minorHAnsi"/>
          <w:i/>
          <w:sz w:val="24"/>
          <w:szCs w:val="24"/>
          <w:lang w:val="bg-BG" w:eastAsia="en-US"/>
        </w:rPr>
        <w:t>Методически указания за разработване на общински и методически указания за разработване на регионални програми за управление на отпадъците за периода 2015-2020 г.</w:t>
      </w:r>
      <w:r w:rsidRPr="005A10AB">
        <w:rPr>
          <w:rFonts w:eastAsiaTheme="minorHAnsi"/>
          <w:sz w:val="24"/>
          <w:szCs w:val="24"/>
          <w:lang w:val="bg-BG" w:eastAsia="en-US"/>
        </w:rPr>
        <w:t xml:space="preserve">". И в двата методически документа е посочено, че за да се идентифицират конкретните мерки, трябва да се разработят и оценят най-малко две алтернативи за постигане на целите.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Възможни алтернативи биха могли да бъдат: </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1) децентрализиран подход в управлението на отпадъците и </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2) централизиран подход в управлението на отпадъците.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За всяка алтернатива следва да се направят </w:t>
      </w:r>
      <w:r w:rsidRPr="005A10AB">
        <w:rPr>
          <w:rFonts w:eastAsiaTheme="minorHAnsi"/>
          <w:b/>
          <w:color w:val="000000" w:themeColor="text1"/>
          <w:sz w:val="24"/>
          <w:szCs w:val="24"/>
          <w:lang w:val="bg-BG" w:eastAsia="en-US"/>
        </w:rPr>
        <w:t>изчисления на инвестиционните и оперативните разходи</w:t>
      </w:r>
      <w:r w:rsidRPr="005A10AB">
        <w:rPr>
          <w:rFonts w:eastAsiaTheme="minorHAnsi"/>
          <w:color w:val="000000" w:themeColor="text1"/>
          <w:sz w:val="24"/>
          <w:szCs w:val="24"/>
          <w:lang w:val="bg-BG" w:eastAsia="en-US"/>
        </w:rPr>
        <w:t xml:space="preserve">, както и на </w:t>
      </w:r>
      <w:r w:rsidRPr="005A10AB">
        <w:rPr>
          <w:rFonts w:eastAsiaTheme="minorHAnsi"/>
          <w:b/>
          <w:color w:val="000000" w:themeColor="text1"/>
          <w:sz w:val="24"/>
          <w:szCs w:val="24"/>
          <w:lang w:val="bg-BG" w:eastAsia="en-US"/>
        </w:rPr>
        <w:t>икономическите и екологичните ползи</w:t>
      </w:r>
      <w:r w:rsidRPr="005A10AB">
        <w:rPr>
          <w:rFonts w:eastAsiaTheme="minorHAnsi"/>
          <w:color w:val="000000" w:themeColor="text1"/>
          <w:sz w:val="24"/>
          <w:szCs w:val="24"/>
          <w:lang w:val="bg-BG" w:eastAsia="en-US"/>
        </w:rPr>
        <w:t>. Във основа на резултатите се прави анализ и се избира алтернативата, която ще се приложи, след което се пристъпва към разработване на подпрограмите с мерки.</w:t>
      </w:r>
    </w:p>
    <w:p w:rsidR="005A10AB" w:rsidRPr="005A10AB" w:rsidRDefault="005A10AB" w:rsidP="005A10AB">
      <w:pPr>
        <w:jc w:val="both"/>
        <w:rPr>
          <w:rFonts w:eastAsiaTheme="minorHAnsi"/>
          <w:color w:val="000000" w:themeColor="text1"/>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ab/>
        <w:t>Към настоящия момент няма подготвени отделни методически документи, които да подпомогнат общините при изготвянето на обосновките и анализите за вземане на решение за управление на отпадъците на ниво регион и община.</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Изискванията на приложимото законодателство в областта на управление на отпадъците са съобразени от Управляващият орган на Оперативна програма „Околна среда“ 2014-2020 г. (ОПОС 2014-2020 г.) при подготовката на документацията по всички процедури за подбор на проекти или за директно предоставяне на безвъзмездна финансова помощ по приоритетна ос 2 „Отпадъци“ (ПО2). Допустими кандидати и партньори при голяма част от процедурите са само общини, тъй като, съгласно чл. 19 от Закона за управление на отпадъците (ЗУО), кметът на общината има задължение да организира управлението на битовите отпадъци, образувани на  територията на общината.  </w:t>
      </w:r>
    </w:p>
    <w:p w:rsidR="005A10AB" w:rsidRPr="005A10AB" w:rsidRDefault="005A10AB" w:rsidP="005A10AB">
      <w:pPr>
        <w:ind w:firstLine="720"/>
        <w:jc w:val="both"/>
        <w:rPr>
          <w:rFonts w:eastAsiaTheme="minorHAnsi"/>
          <w:sz w:val="24"/>
          <w:szCs w:val="24"/>
          <w:lang w:val="bg-BG" w:eastAsia="en-US"/>
        </w:rPr>
      </w:pPr>
    </w:p>
    <w:p w:rsidR="000E1C15" w:rsidRDefault="005A10AB" w:rsidP="000E1C15">
      <w:pPr>
        <w:ind w:firstLine="720"/>
        <w:jc w:val="both"/>
        <w:rPr>
          <w:rFonts w:eastAsiaTheme="minorHAnsi"/>
          <w:sz w:val="24"/>
          <w:szCs w:val="24"/>
          <w:lang w:val="bg-BG" w:eastAsia="en-US"/>
        </w:rPr>
      </w:pPr>
      <w:r w:rsidRPr="005A10AB">
        <w:rPr>
          <w:rFonts w:eastAsiaTheme="minorHAnsi"/>
          <w:sz w:val="24"/>
          <w:szCs w:val="24"/>
          <w:lang w:val="bg-BG" w:eastAsia="en-US"/>
        </w:rPr>
        <w:t>Кандидатите по процедур</w:t>
      </w:r>
      <w:r w:rsidR="001F76F5">
        <w:rPr>
          <w:rFonts w:eastAsiaTheme="minorHAnsi"/>
          <w:sz w:val="24"/>
          <w:szCs w:val="24"/>
          <w:lang w:val="bg-BG" w:eastAsia="en-US"/>
        </w:rPr>
        <w:t xml:space="preserve">а </w:t>
      </w:r>
      <w:r w:rsidR="001F76F5" w:rsidRPr="001F76F5">
        <w:rPr>
          <w:rFonts w:eastAsiaTheme="minorHAnsi"/>
          <w:sz w:val="24"/>
          <w:szCs w:val="24"/>
          <w:lang w:val="bg-BG" w:eastAsia="en-US"/>
        </w:rPr>
        <w:t>„</w:t>
      </w:r>
      <w:r w:rsidR="001F76F5" w:rsidRPr="00C5686E">
        <w:rPr>
          <w:rFonts w:eastAsiaTheme="minorHAnsi"/>
          <w:i/>
          <w:sz w:val="24"/>
          <w:szCs w:val="24"/>
          <w:lang w:val="bg-BG" w:eastAsia="en-US"/>
        </w:rPr>
        <w:t xml:space="preserve">Комбинирана процедура за проектиране и изграждане на </w:t>
      </w:r>
      <w:proofErr w:type="spellStart"/>
      <w:r w:rsidR="001F76F5" w:rsidRPr="00C5686E">
        <w:rPr>
          <w:rFonts w:eastAsiaTheme="minorHAnsi"/>
          <w:i/>
          <w:sz w:val="24"/>
          <w:szCs w:val="24"/>
          <w:lang w:val="bg-BG" w:eastAsia="en-US"/>
        </w:rPr>
        <w:t>компостиращи</w:t>
      </w:r>
      <w:proofErr w:type="spellEnd"/>
      <w:r w:rsidR="001F76F5" w:rsidRPr="00C5686E">
        <w:rPr>
          <w:rFonts w:eastAsiaTheme="minorHAnsi"/>
          <w:i/>
          <w:sz w:val="24"/>
          <w:szCs w:val="24"/>
          <w:lang w:val="bg-BG" w:eastAsia="en-US"/>
        </w:rPr>
        <w:t xml:space="preserve"> инсталации и на инсталации за предварително третиране на битови отпадъци</w:t>
      </w:r>
      <w:r w:rsidR="001F76F5" w:rsidRPr="001F76F5">
        <w:rPr>
          <w:rFonts w:eastAsiaTheme="minorHAnsi"/>
          <w:sz w:val="24"/>
          <w:szCs w:val="24"/>
          <w:lang w:val="bg-BG" w:eastAsia="en-US"/>
        </w:rPr>
        <w:t>“</w:t>
      </w:r>
      <w:r w:rsidRPr="005A10AB">
        <w:rPr>
          <w:rFonts w:eastAsiaTheme="minorHAnsi"/>
          <w:sz w:val="24"/>
          <w:szCs w:val="24"/>
          <w:lang w:val="bg-BG" w:eastAsia="en-US"/>
        </w:rPr>
        <w:t xml:space="preserve"> </w:t>
      </w:r>
      <w:r w:rsidR="001F76F5">
        <w:rPr>
          <w:rFonts w:eastAsiaTheme="minorHAnsi"/>
          <w:sz w:val="24"/>
          <w:szCs w:val="24"/>
          <w:lang w:val="bg-BG" w:eastAsia="en-US"/>
        </w:rPr>
        <w:t>са само общини от Регионални сдружения за управление на отпадъците (РСУО), включени в таблица № 3 от насоките за кандидатстване по процедурата, част „</w:t>
      </w:r>
      <w:r w:rsidR="001F76F5" w:rsidRPr="00C5686E">
        <w:rPr>
          <w:rFonts w:eastAsiaTheme="minorHAnsi"/>
          <w:i/>
          <w:sz w:val="24"/>
          <w:szCs w:val="24"/>
          <w:lang w:val="bg-BG" w:eastAsia="en-US"/>
        </w:rPr>
        <w:t>условия за кандидатстване</w:t>
      </w:r>
      <w:r w:rsidR="001F76F5">
        <w:rPr>
          <w:rFonts w:eastAsiaTheme="minorHAnsi"/>
          <w:sz w:val="24"/>
          <w:szCs w:val="24"/>
          <w:lang w:val="bg-BG" w:eastAsia="en-US"/>
        </w:rPr>
        <w:t xml:space="preserve">“. Всички кандидати (водеща община и общините – партньори, ако е приложимо) </w:t>
      </w:r>
      <w:r w:rsidRPr="005A10AB">
        <w:rPr>
          <w:rFonts w:eastAsiaTheme="minorHAnsi"/>
          <w:sz w:val="24"/>
          <w:szCs w:val="24"/>
          <w:lang w:val="bg-BG" w:eastAsia="en-US"/>
        </w:rPr>
        <w:t xml:space="preserve">трябва да отговарят на всички поставени </w:t>
      </w:r>
      <w:r w:rsidR="001F76F5">
        <w:rPr>
          <w:rFonts w:eastAsiaTheme="minorHAnsi"/>
          <w:sz w:val="24"/>
          <w:szCs w:val="24"/>
          <w:lang w:val="bg-BG" w:eastAsia="en-US"/>
        </w:rPr>
        <w:t xml:space="preserve">условия и </w:t>
      </w:r>
      <w:r w:rsidRPr="005A10AB">
        <w:rPr>
          <w:rFonts w:eastAsiaTheme="minorHAnsi"/>
          <w:sz w:val="24"/>
          <w:szCs w:val="24"/>
          <w:lang w:val="bg-BG" w:eastAsia="en-US"/>
        </w:rPr>
        <w:t>изисквания за кандидатстване, съдържащи се в насоките за кандидатстване</w:t>
      </w:r>
      <w:r w:rsidR="001F76F5">
        <w:rPr>
          <w:rFonts w:eastAsiaTheme="minorHAnsi"/>
          <w:sz w:val="24"/>
          <w:szCs w:val="24"/>
          <w:lang w:val="bg-BG" w:eastAsia="en-US"/>
        </w:rPr>
        <w:t>, част „</w:t>
      </w:r>
      <w:r w:rsidR="001F76F5" w:rsidRPr="00C5686E">
        <w:rPr>
          <w:rFonts w:eastAsiaTheme="minorHAnsi"/>
          <w:i/>
          <w:sz w:val="24"/>
          <w:szCs w:val="24"/>
          <w:lang w:val="bg-BG" w:eastAsia="en-US"/>
        </w:rPr>
        <w:t>условия за кандидатстване</w:t>
      </w:r>
      <w:r w:rsidR="001F76F5">
        <w:rPr>
          <w:rFonts w:eastAsiaTheme="minorHAnsi"/>
          <w:sz w:val="24"/>
          <w:szCs w:val="24"/>
          <w:lang w:val="bg-BG" w:eastAsia="en-US"/>
        </w:rPr>
        <w:t>“</w:t>
      </w:r>
      <w:r w:rsidRPr="005A10AB">
        <w:rPr>
          <w:rFonts w:eastAsiaTheme="minorHAnsi"/>
          <w:sz w:val="24"/>
          <w:szCs w:val="24"/>
          <w:lang w:val="bg-BG" w:eastAsia="en-US"/>
        </w:rPr>
        <w:t xml:space="preserve">. Едно от задължителните условия </w:t>
      </w:r>
      <w:r w:rsidR="001F76F5">
        <w:rPr>
          <w:rFonts w:eastAsiaTheme="minorHAnsi"/>
          <w:sz w:val="24"/>
          <w:szCs w:val="24"/>
          <w:lang w:val="bg-BG" w:eastAsia="en-US"/>
        </w:rPr>
        <w:t xml:space="preserve">и изисквания, които трябва да бъдат изпълнени към момента на подаване на проектното предложение, </w:t>
      </w:r>
      <w:r w:rsidRPr="005A10AB">
        <w:rPr>
          <w:rFonts w:eastAsiaTheme="minorHAnsi"/>
          <w:sz w:val="24"/>
          <w:szCs w:val="24"/>
          <w:lang w:val="bg-BG" w:eastAsia="en-US"/>
        </w:rPr>
        <w:t xml:space="preserve">е да е налично решение на общото събрание на </w:t>
      </w:r>
      <w:r w:rsidR="001F76F5">
        <w:rPr>
          <w:rFonts w:eastAsiaTheme="minorHAnsi"/>
          <w:sz w:val="24"/>
          <w:szCs w:val="24"/>
          <w:lang w:val="bg-BG" w:eastAsia="en-US"/>
        </w:rPr>
        <w:t xml:space="preserve">съответното </w:t>
      </w:r>
      <w:r w:rsidRPr="005A10AB">
        <w:rPr>
          <w:rFonts w:eastAsiaTheme="minorHAnsi"/>
          <w:sz w:val="24"/>
          <w:szCs w:val="24"/>
          <w:lang w:val="bg-BG" w:eastAsia="en-US"/>
        </w:rPr>
        <w:t>регионално сдружение</w:t>
      </w:r>
      <w:r w:rsidR="001F76F5">
        <w:rPr>
          <w:rFonts w:eastAsiaTheme="minorHAnsi"/>
          <w:sz w:val="24"/>
          <w:szCs w:val="24"/>
          <w:lang w:val="bg-BG" w:eastAsia="en-US"/>
        </w:rPr>
        <w:t xml:space="preserve"> от таблица № 3 от насоките за кандидатстване, част „</w:t>
      </w:r>
      <w:r w:rsidR="001F76F5" w:rsidRPr="00C5686E">
        <w:rPr>
          <w:rFonts w:eastAsiaTheme="minorHAnsi"/>
          <w:i/>
          <w:sz w:val="24"/>
          <w:szCs w:val="24"/>
          <w:lang w:val="bg-BG" w:eastAsia="en-US"/>
        </w:rPr>
        <w:t>условия за кандидатстване</w:t>
      </w:r>
      <w:r w:rsidR="001F76F5">
        <w:rPr>
          <w:rFonts w:eastAsiaTheme="minorHAnsi"/>
          <w:sz w:val="24"/>
          <w:szCs w:val="24"/>
          <w:lang w:val="bg-BG" w:eastAsia="en-US"/>
        </w:rPr>
        <w:t>“</w:t>
      </w:r>
      <w:r w:rsidRPr="005A10AB">
        <w:rPr>
          <w:rFonts w:eastAsiaTheme="minorHAnsi"/>
          <w:sz w:val="24"/>
          <w:szCs w:val="24"/>
          <w:lang w:val="bg-BG" w:eastAsia="en-US"/>
        </w:rPr>
        <w:t xml:space="preserve">, </w:t>
      </w:r>
      <w:r w:rsidR="000E1C15">
        <w:rPr>
          <w:rFonts w:eastAsiaTheme="minorHAnsi"/>
          <w:sz w:val="24"/>
          <w:szCs w:val="24"/>
          <w:lang w:val="bg-BG" w:eastAsia="en-US"/>
        </w:rPr>
        <w:t xml:space="preserve">за </w:t>
      </w:r>
      <w:r w:rsidR="00684246">
        <w:rPr>
          <w:rFonts w:eastAsiaTheme="minorHAnsi"/>
          <w:sz w:val="24"/>
          <w:szCs w:val="24"/>
          <w:lang w:val="bg-BG" w:eastAsia="en-US"/>
        </w:rPr>
        <w:t xml:space="preserve">определяне </w:t>
      </w:r>
      <w:r w:rsidR="000E1C15">
        <w:rPr>
          <w:rFonts w:eastAsiaTheme="minorHAnsi"/>
          <w:sz w:val="24"/>
          <w:szCs w:val="24"/>
          <w:lang w:val="bg-BG" w:eastAsia="en-US"/>
        </w:rPr>
        <w:t xml:space="preserve">на </w:t>
      </w:r>
      <w:r w:rsidR="00684246">
        <w:rPr>
          <w:rFonts w:eastAsiaTheme="minorHAnsi"/>
          <w:sz w:val="24"/>
          <w:szCs w:val="24"/>
          <w:lang w:val="bg-BG" w:eastAsia="en-US"/>
        </w:rPr>
        <w:t xml:space="preserve">отделните </w:t>
      </w:r>
      <w:r w:rsidR="000E1C15">
        <w:rPr>
          <w:rFonts w:eastAsiaTheme="minorHAnsi"/>
          <w:sz w:val="24"/>
          <w:szCs w:val="24"/>
          <w:lang w:val="bg-BG" w:eastAsia="en-US"/>
        </w:rPr>
        <w:t xml:space="preserve">съоръжения за третиране на отпадъците на основание чл. 26, ал. 1, т. 4 от ЗУО и за </w:t>
      </w:r>
      <w:r w:rsidRPr="005A10AB">
        <w:rPr>
          <w:rFonts w:eastAsiaTheme="minorHAnsi"/>
          <w:sz w:val="24"/>
          <w:szCs w:val="24"/>
          <w:lang w:val="bg-BG" w:eastAsia="en-US"/>
        </w:rPr>
        <w:t xml:space="preserve"> разпределени</w:t>
      </w:r>
      <w:r w:rsidR="000E1C15">
        <w:rPr>
          <w:rFonts w:eastAsiaTheme="minorHAnsi"/>
          <w:sz w:val="24"/>
          <w:szCs w:val="24"/>
          <w:lang w:val="bg-BG" w:eastAsia="en-US"/>
        </w:rPr>
        <w:t>е на</w:t>
      </w:r>
      <w:r w:rsidRPr="005A10AB">
        <w:rPr>
          <w:rFonts w:eastAsiaTheme="minorHAnsi"/>
          <w:sz w:val="24"/>
          <w:szCs w:val="24"/>
          <w:lang w:val="bg-BG" w:eastAsia="en-US"/>
        </w:rPr>
        <w:t xml:space="preserve"> задълженията на </w:t>
      </w:r>
      <w:r w:rsidR="000E1C15">
        <w:rPr>
          <w:rFonts w:eastAsiaTheme="minorHAnsi"/>
          <w:sz w:val="24"/>
          <w:szCs w:val="24"/>
          <w:lang w:val="bg-BG" w:eastAsia="en-US"/>
        </w:rPr>
        <w:t>всичк</w:t>
      </w:r>
      <w:bookmarkStart w:id="0" w:name="_GoBack"/>
      <w:bookmarkEnd w:id="0"/>
      <w:r w:rsidR="000E1C15">
        <w:rPr>
          <w:rFonts w:eastAsiaTheme="minorHAnsi"/>
          <w:sz w:val="24"/>
          <w:szCs w:val="24"/>
          <w:lang w:val="bg-BG" w:eastAsia="en-US"/>
        </w:rPr>
        <w:t xml:space="preserve">и </w:t>
      </w:r>
      <w:r w:rsidRPr="005A10AB">
        <w:rPr>
          <w:rFonts w:eastAsiaTheme="minorHAnsi"/>
          <w:sz w:val="24"/>
          <w:szCs w:val="24"/>
          <w:lang w:val="bg-BG" w:eastAsia="en-US"/>
        </w:rPr>
        <w:t xml:space="preserve">общини </w:t>
      </w:r>
      <w:r w:rsidR="000E1C15">
        <w:rPr>
          <w:rFonts w:eastAsiaTheme="minorHAnsi"/>
          <w:sz w:val="24"/>
          <w:szCs w:val="24"/>
          <w:lang w:val="bg-BG" w:eastAsia="en-US"/>
        </w:rPr>
        <w:t xml:space="preserve">в РСУО </w:t>
      </w:r>
      <w:r w:rsidRPr="005A10AB">
        <w:rPr>
          <w:rFonts w:eastAsiaTheme="minorHAnsi"/>
          <w:sz w:val="24"/>
          <w:szCs w:val="24"/>
          <w:lang w:val="bg-BG" w:eastAsia="en-US"/>
        </w:rPr>
        <w:t>за изпълнение целите по чл. 31, ал. 1</w:t>
      </w:r>
      <w:r w:rsidR="000E1C15">
        <w:rPr>
          <w:rFonts w:eastAsiaTheme="minorHAnsi"/>
          <w:sz w:val="24"/>
          <w:szCs w:val="24"/>
          <w:lang w:val="bg-BG" w:eastAsia="en-US"/>
        </w:rPr>
        <w:t>, т. 1 и т. 2</w:t>
      </w:r>
      <w:r w:rsidRPr="005A10AB">
        <w:rPr>
          <w:rFonts w:eastAsiaTheme="minorHAnsi"/>
          <w:sz w:val="24"/>
          <w:szCs w:val="24"/>
          <w:lang w:val="bg-BG" w:eastAsia="en-US"/>
        </w:rPr>
        <w:t xml:space="preserve"> от ЗУО</w:t>
      </w:r>
      <w:r w:rsidR="000E1C15">
        <w:rPr>
          <w:rFonts w:eastAsiaTheme="minorHAnsi"/>
          <w:sz w:val="24"/>
          <w:szCs w:val="24"/>
          <w:lang w:val="bg-BG" w:eastAsia="en-US"/>
        </w:rPr>
        <w:t xml:space="preserve"> на основание чл. 26, ал. 1, т. 6 от ЗУО</w:t>
      </w:r>
      <w:r w:rsidRPr="005A10AB">
        <w:rPr>
          <w:rFonts w:eastAsiaTheme="minorHAnsi"/>
          <w:sz w:val="24"/>
          <w:szCs w:val="24"/>
          <w:lang w:val="bg-BG" w:eastAsia="en-US"/>
        </w:rPr>
        <w:t>, съответстващи на проектното предложение</w:t>
      </w:r>
      <w:r w:rsidR="000E1C15">
        <w:rPr>
          <w:rFonts w:eastAsiaTheme="minorHAnsi"/>
          <w:sz w:val="24"/>
          <w:szCs w:val="24"/>
          <w:lang w:val="bg-BG" w:eastAsia="en-US"/>
        </w:rPr>
        <w:t>, което:</w:t>
      </w:r>
    </w:p>
    <w:p w:rsidR="000E1C15" w:rsidRPr="000E1C15" w:rsidRDefault="000E1C15" w:rsidP="000E1C15">
      <w:pPr>
        <w:ind w:firstLine="720"/>
        <w:jc w:val="both"/>
        <w:rPr>
          <w:rFonts w:eastAsiaTheme="minorHAnsi"/>
          <w:sz w:val="24"/>
          <w:szCs w:val="24"/>
          <w:lang w:val="bg-BG" w:eastAsia="en-US"/>
        </w:rPr>
      </w:pPr>
      <w:r>
        <w:rPr>
          <w:rFonts w:eastAsiaTheme="minorHAnsi"/>
          <w:sz w:val="24"/>
          <w:szCs w:val="24"/>
          <w:lang w:val="bg-BG" w:eastAsia="en-US"/>
        </w:rPr>
        <w:t xml:space="preserve">- </w:t>
      </w:r>
      <w:r w:rsidRPr="000E1C15">
        <w:rPr>
          <w:rFonts w:eastAsiaTheme="minorHAnsi"/>
          <w:sz w:val="24"/>
          <w:szCs w:val="24"/>
          <w:lang w:val="bg-BG" w:eastAsia="en-US"/>
        </w:rPr>
        <w:t>доказва необходимостта от допълнителна инфраструктура в региона за постигане на целите за рециклиране и оползотворяване на битовите отпадъци;</w:t>
      </w:r>
    </w:p>
    <w:p w:rsidR="000E1C15" w:rsidRDefault="000E1C15" w:rsidP="000E1C15">
      <w:pPr>
        <w:ind w:firstLine="720"/>
        <w:jc w:val="both"/>
        <w:rPr>
          <w:rFonts w:eastAsiaTheme="minorHAnsi"/>
          <w:sz w:val="24"/>
          <w:szCs w:val="24"/>
          <w:lang w:val="bg-BG" w:eastAsia="en-US"/>
        </w:rPr>
      </w:pPr>
      <w:r w:rsidRPr="000E1C15">
        <w:rPr>
          <w:rFonts w:eastAsiaTheme="minorHAnsi"/>
          <w:sz w:val="24"/>
          <w:szCs w:val="24"/>
          <w:lang w:val="bg-BG" w:eastAsia="en-US"/>
        </w:rPr>
        <w:t xml:space="preserve"> </w:t>
      </w:r>
      <w:r>
        <w:rPr>
          <w:rFonts w:eastAsiaTheme="minorHAnsi"/>
          <w:sz w:val="24"/>
          <w:szCs w:val="24"/>
          <w:lang w:val="bg-BG" w:eastAsia="en-US"/>
        </w:rPr>
        <w:t>-</w:t>
      </w:r>
      <w:r w:rsidRPr="000E1C15">
        <w:rPr>
          <w:rFonts w:eastAsiaTheme="minorHAnsi"/>
          <w:sz w:val="24"/>
          <w:szCs w:val="24"/>
          <w:lang w:val="bg-BG" w:eastAsia="en-US"/>
        </w:rPr>
        <w:t xml:space="preserve"> е взето въз основа на анализ на това кой подход е по-ефективен – обща за целия регион или за част от региона инфраструктура за третиране на битовите отпадъци, или поотделно за всяка община от РСУО</w:t>
      </w:r>
      <w:r>
        <w:rPr>
          <w:rFonts w:eastAsiaTheme="minorHAnsi"/>
          <w:sz w:val="24"/>
          <w:szCs w:val="24"/>
          <w:lang w:val="bg-BG" w:eastAsia="en-US"/>
        </w:rPr>
        <w:t>.</w:t>
      </w:r>
    </w:p>
    <w:p w:rsidR="000E1C15" w:rsidRDefault="000E1C15" w:rsidP="000E1C15">
      <w:pPr>
        <w:ind w:firstLine="720"/>
        <w:jc w:val="both"/>
        <w:rPr>
          <w:rFonts w:eastAsiaTheme="minorHAnsi"/>
          <w:sz w:val="24"/>
          <w:szCs w:val="24"/>
          <w:lang w:val="bg-BG" w:eastAsia="en-US"/>
        </w:rPr>
      </w:pPr>
    </w:p>
    <w:p w:rsidR="000E1C15" w:rsidRDefault="000E1C15" w:rsidP="000E1C15">
      <w:pPr>
        <w:ind w:firstLine="720"/>
        <w:jc w:val="both"/>
        <w:rPr>
          <w:rFonts w:eastAsiaTheme="minorHAnsi"/>
          <w:sz w:val="24"/>
          <w:szCs w:val="24"/>
          <w:lang w:val="bg-BG" w:eastAsia="en-US"/>
        </w:rPr>
      </w:pPr>
    </w:p>
    <w:p w:rsidR="005A10AB" w:rsidRPr="005A10AB" w:rsidRDefault="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Изрично е посочено в </w:t>
      </w:r>
      <w:r w:rsidR="000E1C15">
        <w:rPr>
          <w:rFonts w:eastAsiaTheme="minorHAnsi"/>
          <w:sz w:val="24"/>
          <w:szCs w:val="24"/>
          <w:lang w:val="bg-BG" w:eastAsia="en-US"/>
        </w:rPr>
        <w:t>насоките за кандидатстване по процедурата, част „</w:t>
      </w:r>
      <w:r w:rsidR="000E1C15" w:rsidRPr="00C5686E">
        <w:rPr>
          <w:rFonts w:eastAsiaTheme="minorHAnsi"/>
          <w:i/>
          <w:sz w:val="24"/>
          <w:szCs w:val="24"/>
          <w:lang w:val="bg-BG" w:eastAsia="en-US"/>
        </w:rPr>
        <w:t>условия за кандидатстване</w:t>
      </w:r>
      <w:r w:rsidR="000E1C15">
        <w:rPr>
          <w:rFonts w:eastAsiaTheme="minorHAnsi"/>
          <w:sz w:val="24"/>
          <w:szCs w:val="24"/>
          <w:lang w:val="bg-BG" w:eastAsia="en-US"/>
        </w:rPr>
        <w:t xml:space="preserve">“, </w:t>
      </w:r>
      <w:r w:rsidRPr="005A10AB">
        <w:rPr>
          <w:rFonts w:eastAsiaTheme="minorHAnsi"/>
          <w:sz w:val="24"/>
          <w:szCs w:val="24"/>
          <w:lang w:val="bg-BG" w:eastAsia="en-US"/>
        </w:rPr>
        <w:t xml:space="preserve">че за доказване на изпълнението на </w:t>
      </w:r>
      <w:r w:rsidR="006C1475">
        <w:rPr>
          <w:rFonts w:eastAsiaTheme="minorHAnsi"/>
          <w:sz w:val="24"/>
          <w:szCs w:val="24"/>
          <w:lang w:val="bg-BG" w:eastAsia="en-US"/>
        </w:rPr>
        <w:t>това</w:t>
      </w:r>
      <w:r w:rsidR="006C1475" w:rsidRPr="005A10AB">
        <w:rPr>
          <w:rFonts w:eastAsiaTheme="minorHAnsi"/>
          <w:sz w:val="24"/>
          <w:szCs w:val="24"/>
          <w:lang w:val="bg-BG" w:eastAsia="en-US"/>
        </w:rPr>
        <w:t xml:space="preserve"> </w:t>
      </w:r>
      <w:r w:rsidRPr="005A10AB">
        <w:rPr>
          <w:rFonts w:eastAsiaTheme="minorHAnsi"/>
          <w:sz w:val="24"/>
          <w:szCs w:val="24"/>
          <w:lang w:val="bg-BG" w:eastAsia="en-US"/>
        </w:rPr>
        <w:t>условие</w:t>
      </w:r>
      <w:r w:rsidR="006C1475">
        <w:rPr>
          <w:rFonts w:eastAsiaTheme="minorHAnsi"/>
          <w:sz w:val="24"/>
          <w:szCs w:val="24"/>
          <w:lang w:val="bg-BG" w:eastAsia="en-US"/>
        </w:rPr>
        <w:t xml:space="preserve"> и изискване</w:t>
      </w:r>
      <w:r w:rsidRPr="005A10AB">
        <w:rPr>
          <w:rFonts w:eastAsiaTheme="minorHAnsi"/>
          <w:sz w:val="24"/>
          <w:szCs w:val="24"/>
          <w:lang w:val="bg-BG" w:eastAsia="en-US"/>
        </w:rPr>
        <w:t xml:space="preserve"> трябва да се представят решението и </w:t>
      </w:r>
      <w:r w:rsidRPr="005A10AB">
        <w:rPr>
          <w:rFonts w:eastAsiaTheme="minorHAnsi"/>
          <w:b/>
          <w:sz w:val="24"/>
          <w:szCs w:val="24"/>
          <w:lang w:val="bg-BG" w:eastAsia="en-US"/>
        </w:rPr>
        <w:t>пълните текстове на анализите, обосновките и доказателствата, въз основа на които е взето решението</w:t>
      </w:r>
      <w:r w:rsidRPr="005A10AB">
        <w:rPr>
          <w:rFonts w:eastAsiaTheme="minorHAnsi"/>
          <w:sz w:val="24"/>
          <w:szCs w:val="24"/>
          <w:lang w:val="bg-BG" w:eastAsia="en-US"/>
        </w:rPr>
        <w:t xml:space="preserve">.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ab/>
        <w:t xml:space="preserve">Целта на настоящите указания </w:t>
      </w:r>
      <w:r w:rsidR="000E1C15">
        <w:rPr>
          <w:rFonts w:eastAsiaTheme="minorHAnsi"/>
          <w:sz w:val="24"/>
          <w:szCs w:val="24"/>
          <w:lang w:val="bg-BG" w:eastAsia="en-US"/>
        </w:rPr>
        <w:t xml:space="preserve">на Ръководителя на Управляващия орган на ОПОС 2014-2020 г. </w:t>
      </w:r>
      <w:r w:rsidRPr="005A10AB">
        <w:rPr>
          <w:rFonts w:eastAsiaTheme="minorHAnsi"/>
          <w:sz w:val="24"/>
          <w:szCs w:val="24"/>
          <w:lang w:val="bg-BG" w:eastAsia="en-US"/>
        </w:rPr>
        <w:t xml:space="preserve">е да подпомогне общините при изготвяне на анализ относно ефективността и избора на подход само по отношение на </w:t>
      </w:r>
      <w:r w:rsidRPr="005A10AB">
        <w:rPr>
          <w:rFonts w:eastAsiaTheme="minorHAnsi"/>
          <w:b/>
          <w:sz w:val="24"/>
          <w:szCs w:val="24"/>
          <w:lang w:val="bg-BG" w:eastAsia="en-US"/>
        </w:rPr>
        <w:t>бъдещото изграждане на инфраструктура за управление на битовите отпадъци</w:t>
      </w:r>
      <w:r w:rsidRPr="005A10AB">
        <w:rPr>
          <w:rFonts w:eastAsiaTheme="minorHAnsi"/>
          <w:sz w:val="24"/>
          <w:szCs w:val="24"/>
          <w:lang w:val="bg-BG" w:eastAsia="en-US"/>
        </w:rPr>
        <w:t xml:space="preserve">. </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Указанията са съобразени с действащата нормативна и административна уредба, като я </w:t>
      </w:r>
      <w:proofErr w:type="spellStart"/>
      <w:r w:rsidRPr="005A10AB">
        <w:rPr>
          <w:rFonts w:eastAsiaTheme="minorHAnsi"/>
          <w:sz w:val="24"/>
          <w:szCs w:val="24"/>
          <w:lang w:val="bg-BG" w:eastAsia="en-US"/>
        </w:rPr>
        <w:t>надграждат</w:t>
      </w:r>
      <w:proofErr w:type="spellEnd"/>
      <w:r w:rsidRPr="005A10AB">
        <w:rPr>
          <w:rFonts w:eastAsiaTheme="minorHAnsi"/>
          <w:sz w:val="24"/>
          <w:szCs w:val="24"/>
          <w:lang w:val="bg-BG" w:eastAsia="en-US"/>
        </w:rPr>
        <w:t xml:space="preserve">. </w:t>
      </w:r>
    </w:p>
    <w:p w:rsidR="000E1C15" w:rsidRPr="000E1C15" w:rsidRDefault="000E1C15" w:rsidP="00C5686E">
      <w:pPr>
        <w:ind w:firstLine="708"/>
        <w:jc w:val="both"/>
        <w:rPr>
          <w:rFonts w:eastAsiaTheme="minorHAnsi"/>
          <w:sz w:val="24"/>
          <w:szCs w:val="24"/>
          <w:lang w:val="en-US" w:eastAsia="en-US"/>
        </w:rPr>
      </w:pPr>
      <w:proofErr w:type="spellStart"/>
      <w:r w:rsidRPr="000E1C15">
        <w:rPr>
          <w:rFonts w:eastAsiaTheme="minorHAnsi"/>
          <w:sz w:val="24"/>
          <w:szCs w:val="24"/>
          <w:lang w:val="en-US" w:eastAsia="en-US"/>
        </w:rPr>
        <w:t>Анализите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изготвят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обобщено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всички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общини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съответния</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регион</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включен</w:t>
      </w:r>
      <w:proofErr w:type="spellEnd"/>
      <w:r w:rsidRPr="000E1C15">
        <w:rPr>
          <w:rFonts w:eastAsiaTheme="minorHAnsi"/>
          <w:sz w:val="24"/>
          <w:szCs w:val="24"/>
          <w:lang w:val="en-US" w:eastAsia="en-US"/>
        </w:rPr>
        <w:t xml:space="preserve"> в </w:t>
      </w:r>
      <w:proofErr w:type="spellStart"/>
      <w:r w:rsidRPr="000E1C15">
        <w:rPr>
          <w:rFonts w:eastAsiaTheme="minorHAnsi"/>
          <w:sz w:val="24"/>
          <w:szCs w:val="24"/>
          <w:lang w:val="en-US" w:eastAsia="en-US"/>
        </w:rPr>
        <w:t>таблица</w:t>
      </w:r>
      <w:proofErr w:type="spellEnd"/>
      <w:r w:rsidRPr="000E1C15">
        <w:rPr>
          <w:rFonts w:eastAsiaTheme="minorHAnsi"/>
          <w:sz w:val="24"/>
          <w:szCs w:val="24"/>
          <w:lang w:val="en-US" w:eastAsia="en-US"/>
        </w:rPr>
        <w:t xml:space="preserve"> № 3</w:t>
      </w:r>
      <w:r>
        <w:rPr>
          <w:rFonts w:eastAsiaTheme="minorHAnsi"/>
          <w:sz w:val="24"/>
          <w:szCs w:val="24"/>
          <w:lang w:val="bg-BG" w:eastAsia="en-US"/>
        </w:rPr>
        <w:t xml:space="preserve"> от насоките за кандидатстване по процедурата, част „</w:t>
      </w:r>
      <w:r w:rsidRPr="00C5686E">
        <w:rPr>
          <w:rFonts w:eastAsiaTheme="minorHAnsi"/>
          <w:i/>
          <w:sz w:val="24"/>
          <w:szCs w:val="24"/>
          <w:lang w:val="bg-BG" w:eastAsia="en-US"/>
        </w:rPr>
        <w:t>условия за кандидатстване</w:t>
      </w:r>
      <w:r>
        <w:rPr>
          <w:rFonts w:eastAsiaTheme="minorHAnsi"/>
          <w:sz w:val="24"/>
          <w:szCs w:val="24"/>
          <w:lang w:val="bg-BG" w:eastAsia="en-US"/>
        </w:rPr>
        <w:t>“</w:t>
      </w:r>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независимо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дали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този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регион</w:t>
      </w:r>
      <w:proofErr w:type="spellEnd"/>
      <w:r w:rsidRPr="000E1C15">
        <w:rPr>
          <w:rFonts w:eastAsiaTheme="minorHAnsi"/>
          <w:sz w:val="24"/>
          <w:szCs w:val="24"/>
          <w:lang w:val="en-US" w:eastAsia="en-US"/>
        </w:rPr>
        <w:t xml:space="preserve"> е </w:t>
      </w:r>
      <w:proofErr w:type="spellStart"/>
      <w:r w:rsidRPr="000E1C15">
        <w:rPr>
          <w:rFonts w:eastAsiaTheme="minorHAnsi"/>
          <w:sz w:val="24"/>
          <w:szCs w:val="24"/>
          <w:lang w:val="en-US" w:eastAsia="en-US"/>
        </w:rPr>
        <w:t>включен</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или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не</w:t>
      </w:r>
      <w:proofErr w:type="spellEnd"/>
      <w:r w:rsidRPr="000E1C15">
        <w:rPr>
          <w:rFonts w:eastAsiaTheme="minorHAnsi"/>
          <w:sz w:val="24"/>
          <w:szCs w:val="24"/>
          <w:lang w:val="en-US" w:eastAsia="en-US"/>
        </w:rPr>
        <w:t xml:space="preserve"> в </w:t>
      </w:r>
      <w:proofErr w:type="spellStart"/>
      <w:r w:rsidRPr="000E1C15">
        <w:rPr>
          <w:rFonts w:eastAsiaTheme="minorHAnsi"/>
          <w:sz w:val="24"/>
          <w:szCs w:val="24"/>
          <w:lang w:val="en-US" w:eastAsia="en-US"/>
        </w:rPr>
        <w:t>таблица</w:t>
      </w:r>
      <w:proofErr w:type="spellEnd"/>
      <w:r w:rsidRPr="000E1C15">
        <w:rPr>
          <w:rFonts w:eastAsiaTheme="minorHAnsi"/>
          <w:sz w:val="24"/>
          <w:szCs w:val="24"/>
          <w:lang w:val="en-US" w:eastAsia="en-US"/>
        </w:rPr>
        <w:t xml:space="preserve"> № 4</w:t>
      </w:r>
      <w:r>
        <w:rPr>
          <w:rFonts w:eastAsiaTheme="minorHAnsi"/>
          <w:sz w:val="24"/>
          <w:szCs w:val="24"/>
          <w:lang w:val="bg-BG" w:eastAsia="en-US"/>
        </w:rPr>
        <w:t xml:space="preserve"> от насоките</w:t>
      </w:r>
      <w:r w:rsidRPr="000E1C15">
        <w:rPr>
          <w:rFonts w:eastAsiaTheme="minorHAnsi"/>
          <w:sz w:val="24"/>
          <w:szCs w:val="24"/>
          <w:lang w:val="en-US" w:eastAsia="en-US"/>
        </w:rPr>
        <w:t xml:space="preserve">. </w:t>
      </w:r>
    </w:p>
    <w:p w:rsidR="000E1C15" w:rsidRPr="000E1C15" w:rsidRDefault="000E1C15" w:rsidP="00C5686E">
      <w:pPr>
        <w:ind w:firstLine="708"/>
        <w:jc w:val="both"/>
        <w:rPr>
          <w:rFonts w:eastAsiaTheme="minorHAnsi"/>
          <w:sz w:val="24"/>
          <w:szCs w:val="24"/>
          <w:lang w:val="en-US" w:eastAsia="en-US"/>
        </w:rPr>
      </w:pPr>
      <w:proofErr w:type="spellStart"/>
      <w:proofErr w:type="gramStart"/>
      <w:r w:rsidRPr="000E1C15">
        <w:rPr>
          <w:rFonts w:eastAsiaTheme="minorHAnsi"/>
          <w:sz w:val="24"/>
          <w:szCs w:val="24"/>
          <w:lang w:val="en-US" w:eastAsia="en-US"/>
        </w:rPr>
        <w:t>Допълнителната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инфраструктура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следва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w:t>
      </w:r>
      <w:proofErr w:type="spellEnd"/>
      <w:r w:rsidRPr="000E1C15">
        <w:rPr>
          <w:rFonts w:eastAsiaTheme="minorHAnsi"/>
          <w:sz w:val="24"/>
          <w:szCs w:val="24"/>
          <w:lang w:val="en-US" w:eastAsia="en-US"/>
        </w:rPr>
        <w:t xml:space="preserve"> е </w:t>
      </w:r>
      <w:proofErr w:type="spellStart"/>
      <w:r w:rsidRPr="000E1C15">
        <w:rPr>
          <w:rFonts w:eastAsiaTheme="minorHAnsi"/>
          <w:sz w:val="24"/>
          <w:szCs w:val="24"/>
          <w:lang w:val="en-US" w:eastAsia="en-US"/>
        </w:rPr>
        <w:t>обвързана</w:t>
      </w:r>
      <w:proofErr w:type="spellEnd"/>
      <w:r w:rsidRPr="000E1C15">
        <w:rPr>
          <w:rFonts w:eastAsiaTheme="minorHAnsi"/>
          <w:sz w:val="24"/>
          <w:szCs w:val="24"/>
          <w:lang w:val="en-US" w:eastAsia="en-US"/>
        </w:rPr>
        <w:t xml:space="preserve"> с и </w:t>
      </w:r>
      <w:proofErr w:type="spellStart"/>
      <w:r w:rsidRPr="000E1C15">
        <w:rPr>
          <w:rFonts w:eastAsiaTheme="minorHAnsi"/>
          <w:sz w:val="24"/>
          <w:szCs w:val="24"/>
          <w:lang w:val="en-US" w:eastAsia="en-US"/>
        </w:rPr>
        <w:t>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разглежда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като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част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регионалната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система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управление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отпадъците</w:t>
      </w:r>
      <w:proofErr w:type="spellEnd"/>
      <w:r w:rsidRPr="000E1C15">
        <w:rPr>
          <w:rFonts w:eastAsiaTheme="minorHAnsi"/>
          <w:sz w:val="24"/>
          <w:szCs w:val="24"/>
          <w:lang w:val="en-US" w:eastAsia="en-US"/>
        </w:rPr>
        <w:t>.</w:t>
      </w:r>
      <w:proofErr w:type="gramEnd"/>
    </w:p>
    <w:p w:rsidR="000E1C15" w:rsidRPr="000E1C15" w:rsidRDefault="000E1C15" w:rsidP="00C5686E">
      <w:pPr>
        <w:ind w:firstLine="708"/>
        <w:jc w:val="both"/>
        <w:rPr>
          <w:rFonts w:eastAsiaTheme="minorHAnsi"/>
          <w:sz w:val="24"/>
          <w:szCs w:val="24"/>
          <w:lang w:val="en-US" w:eastAsia="en-US"/>
        </w:rPr>
      </w:pPr>
      <w:proofErr w:type="spellStart"/>
      <w:proofErr w:type="gram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целите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кандидатстването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следва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изготви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отделен</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анализ</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ефективност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подхода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отношение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всички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предвидени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инсталации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компостиране</w:t>
      </w:r>
      <w:proofErr w:type="spellEnd"/>
      <w:r w:rsidRPr="000E1C15">
        <w:rPr>
          <w:rFonts w:eastAsiaTheme="minorHAnsi"/>
          <w:sz w:val="24"/>
          <w:szCs w:val="24"/>
          <w:lang w:val="en-US" w:eastAsia="en-US"/>
        </w:rPr>
        <w:t xml:space="preserve">, в </w:t>
      </w:r>
      <w:proofErr w:type="spellStart"/>
      <w:r w:rsidRPr="000E1C15">
        <w:rPr>
          <w:rFonts w:eastAsiaTheme="minorHAnsi"/>
          <w:sz w:val="24"/>
          <w:szCs w:val="24"/>
          <w:lang w:val="en-US" w:eastAsia="en-US"/>
        </w:rPr>
        <w:t>който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обхванат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данните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количествата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генерирани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битови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отпадъци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ниво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регион</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управление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отпадъците</w:t>
      </w:r>
      <w:proofErr w:type="spellEnd"/>
      <w:r w:rsidRPr="000E1C15">
        <w:rPr>
          <w:rFonts w:eastAsiaTheme="minorHAnsi"/>
          <w:sz w:val="24"/>
          <w:szCs w:val="24"/>
          <w:lang w:val="en-US" w:eastAsia="en-US"/>
        </w:rPr>
        <w:t>.</w:t>
      </w:r>
      <w:proofErr w:type="gramEnd"/>
      <w:r w:rsidRPr="000E1C15">
        <w:rPr>
          <w:rFonts w:eastAsiaTheme="minorHAnsi"/>
          <w:sz w:val="24"/>
          <w:szCs w:val="24"/>
          <w:lang w:val="en-US" w:eastAsia="en-US"/>
        </w:rPr>
        <w:t xml:space="preserve"> </w:t>
      </w:r>
    </w:p>
    <w:p w:rsidR="000E1C15" w:rsidRPr="000E1C15" w:rsidRDefault="000E1C15" w:rsidP="00C5686E">
      <w:pPr>
        <w:ind w:firstLine="708"/>
        <w:jc w:val="both"/>
        <w:rPr>
          <w:rFonts w:eastAsiaTheme="minorHAnsi"/>
          <w:sz w:val="24"/>
          <w:szCs w:val="24"/>
          <w:lang w:val="en-US" w:eastAsia="en-US"/>
        </w:rPr>
      </w:pP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регионите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таблица</w:t>
      </w:r>
      <w:proofErr w:type="spellEnd"/>
      <w:r w:rsidRPr="000E1C15">
        <w:rPr>
          <w:rFonts w:eastAsiaTheme="minorHAnsi"/>
          <w:sz w:val="24"/>
          <w:szCs w:val="24"/>
          <w:lang w:val="en-US" w:eastAsia="en-US"/>
        </w:rPr>
        <w:t xml:space="preserve"> № 4 </w:t>
      </w:r>
      <w:r>
        <w:rPr>
          <w:rFonts w:eastAsiaTheme="minorHAnsi"/>
          <w:sz w:val="24"/>
          <w:szCs w:val="24"/>
          <w:lang w:val="bg-BG" w:eastAsia="en-US"/>
        </w:rPr>
        <w:t>от насоките за кандидатстване, част „</w:t>
      </w:r>
      <w:r w:rsidRPr="00C5686E">
        <w:rPr>
          <w:rFonts w:eastAsiaTheme="minorHAnsi"/>
          <w:i/>
          <w:sz w:val="24"/>
          <w:szCs w:val="24"/>
          <w:lang w:val="bg-BG" w:eastAsia="en-US"/>
        </w:rPr>
        <w:t>условия за кандидатстване</w:t>
      </w:r>
      <w:r>
        <w:rPr>
          <w:rFonts w:eastAsiaTheme="minorHAnsi"/>
          <w:sz w:val="24"/>
          <w:szCs w:val="24"/>
          <w:lang w:val="bg-BG" w:eastAsia="en-US"/>
        </w:rPr>
        <w:t xml:space="preserve">“, </w:t>
      </w:r>
      <w:proofErr w:type="spellStart"/>
      <w:r w:rsidRPr="000E1C15">
        <w:rPr>
          <w:rFonts w:eastAsiaTheme="minorHAnsi"/>
          <w:sz w:val="24"/>
          <w:szCs w:val="24"/>
          <w:lang w:val="en-US" w:eastAsia="en-US"/>
        </w:rPr>
        <w:t>следва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изготви</w:t>
      </w:r>
      <w:proofErr w:type="spellEnd"/>
      <w:r w:rsidRPr="000E1C15">
        <w:rPr>
          <w:rFonts w:eastAsiaTheme="minorHAnsi"/>
          <w:sz w:val="24"/>
          <w:szCs w:val="24"/>
          <w:lang w:val="en-US" w:eastAsia="en-US"/>
        </w:rPr>
        <w:t xml:space="preserve"> и </w:t>
      </w:r>
      <w:proofErr w:type="spellStart"/>
      <w:r w:rsidRPr="000E1C15">
        <w:rPr>
          <w:rFonts w:eastAsiaTheme="minorHAnsi"/>
          <w:sz w:val="24"/>
          <w:szCs w:val="24"/>
          <w:lang w:val="en-US" w:eastAsia="en-US"/>
        </w:rPr>
        <w:t>отделен</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анализ</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ефективност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подхода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отношение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всички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предвидени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инсталации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предварително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третиране</w:t>
      </w:r>
      <w:proofErr w:type="spellEnd"/>
      <w:r w:rsidRPr="000E1C15">
        <w:rPr>
          <w:rFonts w:eastAsiaTheme="minorHAnsi"/>
          <w:sz w:val="24"/>
          <w:szCs w:val="24"/>
          <w:lang w:val="en-US" w:eastAsia="en-US"/>
        </w:rPr>
        <w:t xml:space="preserve">, в </w:t>
      </w:r>
      <w:proofErr w:type="spellStart"/>
      <w:r w:rsidRPr="000E1C15">
        <w:rPr>
          <w:rFonts w:eastAsiaTheme="minorHAnsi"/>
          <w:sz w:val="24"/>
          <w:szCs w:val="24"/>
          <w:lang w:val="en-US" w:eastAsia="en-US"/>
        </w:rPr>
        <w:t>който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обхванат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данните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количествата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генерирани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битови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отпадъци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ниво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регион</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управление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отпадъците</w:t>
      </w:r>
      <w:proofErr w:type="spellEnd"/>
      <w:r w:rsidRPr="000E1C15">
        <w:rPr>
          <w:rFonts w:eastAsiaTheme="minorHAnsi"/>
          <w:sz w:val="24"/>
          <w:szCs w:val="24"/>
          <w:lang w:val="en-US" w:eastAsia="en-US"/>
        </w:rPr>
        <w:t>.</w:t>
      </w:r>
    </w:p>
    <w:p w:rsidR="005A10AB" w:rsidRDefault="000E1C15" w:rsidP="00C5686E">
      <w:pPr>
        <w:ind w:firstLine="708"/>
        <w:jc w:val="both"/>
        <w:rPr>
          <w:rFonts w:eastAsiaTheme="minorHAnsi"/>
          <w:sz w:val="24"/>
          <w:szCs w:val="24"/>
          <w:lang w:val="en-US" w:eastAsia="en-US"/>
        </w:rPr>
      </w:pPr>
      <w:proofErr w:type="spellStart"/>
      <w:proofErr w:type="gramStart"/>
      <w:r w:rsidRPr="000E1C15">
        <w:rPr>
          <w:rFonts w:eastAsiaTheme="minorHAnsi"/>
          <w:sz w:val="24"/>
          <w:szCs w:val="24"/>
          <w:lang w:val="en-US" w:eastAsia="en-US"/>
        </w:rPr>
        <w:t>Анализи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трябва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бъдат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представени</w:t>
      </w:r>
      <w:proofErr w:type="spellEnd"/>
      <w:r w:rsidRPr="000E1C15">
        <w:rPr>
          <w:rFonts w:eastAsiaTheme="minorHAnsi"/>
          <w:sz w:val="24"/>
          <w:szCs w:val="24"/>
          <w:lang w:val="en-US" w:eastAsia="en-US"/>
        </w:rPr>
        <w:t xml:space="preserve"> и </w:t>
      </w:r>
      <w:proofErr w:type="spellStart"/>
      <w:r w:rsidRPr="000E1C15">
        <w:rPr>
          <w:rFonts w:eastAsiaTheme="minorHAnsi"/>
          <w:sz w:val="24"/>
          <w:szCs w:val="24"/>
          <w:lang w:val="en-US" w:eastAsia="en-US"/>
        </w:rPr>
        <w:t>за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регионите</w:t>
      </w:r>
      <w:proofErr w:type="spellEnd"/>
      <w:r w:rsidRPr="000E1C15">
        <w:rPr>
          <w:rFonts w:eastAsiaTheme="minorHAnsi"/>
          <w:sz w:val="24"/>
          <w:szCs w:val="24"/>
          <w:lang w:val="en-US" w:eastAsia="en-US"/>
        </w:rPr>
        <w:t xml:space="preserve">, в </w:t>
      </w:r>
      <w:proofErr w:type="spellStart"/>
      <w:r w:rsidRPr="000E1C15">
        <w:rPr>
          <w:rFonts w:eastAsiaTheme="minorHAnsi"/>
          <w:sz w:val="24"/>
          <w:szCs w:val="24"/>
          <w:lang w:val="en-US" w:eastAsia="en-US"/>
        </w:rPr>
        <w:t>които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включени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само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една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община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регион</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Петрич</w:t>
      </w:r>
      <w:proofErr w:type="spellEnd"/>
      <w:r w:rsidRPr="000E1C15">
        <w:rPr>
          <w:rFonts w:eastAsiaTheme="minorHAnsi"/>
          <w:sz w:val="24"/>
          <w:szCs w:val="24"/>
          <w:lang w:val="en-US" w:eastAsia="en-US"/>
        </w:rPr>
        <w:t xml:space="preserve"> и </w:t>
      </w:r>
      <w:proofErr w:type="spellStart"/>
      <w:r w:rsidRPr="000E1C15">
        <w:rPr>
          <w:rFonts w:eastAsiaTheme="minorHAnsi"/>
          <w:sz w:val="24"/>
          <w:szCs w:val="24"/>
          <w:lang w:val="en-US" w:eastAsia="en-US"/>
        </w:rPr>
        <w:t>регион</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Рудозем</w:t>
      </w:r>
      <w:proofErr w:type="spellEnd"/>
      <w:r w:rsidRPr="000E1C15">
        <w:rPr>
          <w:rFonts w:eastAsiaTheme="minorHAnsi"/>
          <w:sz w:val="24"/>
          <w:szCs w:val="24"/>
          <w:lang w:val="en-US" w:eastAsia="en-US"/>
        </w:rPr>
        <w:t>).</w:t>
      </w:r>
      <w:proofErr w:type="gramEnd"/>
      <w:r w:rsidRPr="000E1C15">
        <w:rPr>
          <w:rFonts w:eastAsiaTheme="minorHAnsi"/>
          <w:sz w:val="24"/>
          <w:szCs w:val="24"/>
          <w:lang w:val="en-US" w:eastAsia="en-US"/>
        </w:rPr>
        <w:t xml:space="preserve"> </w:t>
      </w:r>
      <w:proofErr w:type="spellStart"/>
      <w:proofErr w:type="gramStart"/>
      <w:r w:rsidRPr="000E1C15">
        <w:rPr>
          <w:rFonts w:eastAsiaTheme="minorHAnsi"/>
          <w:sz w:val="24"/>
          <w:szCs w:val="24"/>
          <w:lang w:val="en-US" w:eastAsia="en-US"/>
        </w:rPr>
        <w:t>Те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трябва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да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бъдат</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представени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като</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приложение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към</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решение</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на</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съответния</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Общински</w:t>
      </w:r>
      <w:proofErr w:type="spellEnd"/>
      <w:r w:rsidRPr="000E1C15">
        <w:rPr>
          <w:rFonts w:eastAsiaTheme="minorHAnsi"/>
          <w:sz w:val="24"/>
          <w:szCs w:val="24"/>
          <w:lang w:val="en-US" w:eastAsia="en-US"/>
        </w:rPr>
        <w:t xml:space="preserve"> </w:t>
      </w:r>
      <w:proofErr w:type="spellStart"/>
      <w:r w:rsidRPr="000E1C15">
        <w:rPr>
          <w:rFonts w:eastAsiaTheme="minorHAnsi"/>
          <w:sz w:val="24"/>
          <w:szCs w:val="24"/>
          <w:lang w:val="en-US" w:eastAsia="en-US"/>
        </w:rPr>
        <w:t>съвет</w:t>
      </w:r>
      <w:proofErr w:type="spellEnd"/>
      <w:r w:rsidRPr="000E1C15">
        <w:rPr>
          <w:rFonts w:eastAsiaTheme="minorHAnsi"/>
          <w:sz w:val="24"/>
          <w:szCs w:val="24"/>
          <w:lang w:val="en-US" w:eastAsia="en-US"/>
        </w:rPr>
        <w:t>.</w:t>
      </w:r>
      <w:proofErr w:type="gramEnd"/>
    </w:p>
    <w:p w:rsidR="00E76E07" w:rsidRPr="00E76E07" w:rsidRDefault="00E76E07" w:rsidP="005A10AB">
      <w:pPr>
        <w:jc w:val="both"/>
        <w:rPr>
          <w:rFonts w:eastAsiaTheme="minorHAnsi"/>
          <w:sz w:val="24"/>
          <w:szCs w:val="24"/>
          <w:lang w:val="en-US" w:eastAsia="en-US"/>
        </w:rPr>
      </w:pPr>
    </w:p>
    <w:p w:rsidR="005A10AB" w:rsidRPr="005A10AB" w:rsidRDefault="005A10AB" w:rsidP="005A10AB">
      <w:pPr>
        <w:numPr>
          <w:ilvl w:val="0"/>
          <w:numId w:val="6"/>
        </w:numPr>
        <w:spacing w:after="200" w:line="276" w:lineRule="auto"/>
        <w:contextualSpacing/>
        <w:jc w:val="both"/>
        <w:rPr>
          <w:rFonts w:eastAsiaTheme="minorHAnsi"/>
          <w:b/>
          <w:i/>
          <w:sz w:val="24"/>
          <w:szCs w:val="24"/>
          <w:lang w:val="bg-BG" w:eastAsia="en-US"/>
        </w:rPr>
      </w:pPr>
      <w:r w:rsidRPr="005A10AB">
        <w:rPr>
          <w:rFonts w:eastAsiaTheme="minorHAnsi"/>
          <w:b/>
          <w:i/>
          <w:sz w:val="24"/>
          <w:szCs w:val="24"/>
          <w:lang w:val="bg-BG" w:eastAsia="en-US"/>
        </w:rPr>
        <w:t>Подходи за изграждане на допълнителна инфраструктура</w:t>
      </w:r>
      <w:r w:rsidRPr="005A10AB">
        <w:rPr>
          <w:rFonts w:eastAsiaTheme="minorHAnsi"/>
          <w:b/>
          <w:sz w:val="24"/>
          <w:szCs w:val="24"/>
          <w:lang w:val="bg-BG" w:eastAsia="en-US"/>
        </w:rPr>
        <w:t xml:space="preserve"> </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Общините от едно регионално сдружение за управление на отпадъците следва да анализират дали </w:t>
      </w:r>
      <w:r w:rsidRPr="005A10AB">
        <w:rPr>
          <w:rFonts w:eastAsiaTheme="minorHAnsi"/>
          <w:b/>
          <w:sz w:val="24"/>
          <w:szCs w:val="24"/>
          <w:lang w:val="bg-BG" w:eastAsia="en-US"/>
        </w:rPr>
        <w:t>изграждането на допълнителна инфраструктура</w:t>
      </w:r>
      <w:r w:rsidRPr="005A10AB">
        <w:rPr>
          <w:rFonts w:eastAsiaTheme="minorHAnsi"/>
          <w:sz w:val="24"/>
          <w:szCs w:val="24"/>
          <w:lang w:val="bg-BG" w:eastAsia="en-US"/>
        </w:rPr>
        <w:t xml:space="preserve"> за управление на отпадъците е по-ефективно да е на ниво регион или да </w:t>
      </w:r>
      <w:r w:rsidR="004B21C2">
        <w:rPr>
          <w:rFonts w:eastAsiaTheme="minorHAnsi"/>
          <w:sz w:val="24"/>
          <w:szCs w:val="24"/>
          <w:lang w:val="bg-BG" w:eastAsia="en-US"/>
        </w:rPr>
        <w:t xml:space="preserve">е </w:t>
      </w:r>
      <w:r w:rsidRPr="005A10AB">
        <w:rPr>
          <w:rFonts w:eastAsiaTheme="minorHAnsi"/>
          <w:sz w:val="24"/>
          <w:szCs w:val="24"/>
          <w:lang w:val="bg-BG" w:eastAsia="en-US"/>
        </w:rPr>
        <w:t xml:space="preserve">на ниво община/група общини. </w:t>
      </w:r>
    </w:p>
    <w:p w:rsidR="005A10AB" w:rsidRPr="005A10AB" w:rsidRDefault="005A10AB" w:rsidP="005A10AB">
      <w:pPr>
        <w:ind w:firstLine="720"/>
        <w:jc w:val="both"/>
        <w:rPr>
          <w:rFonts w:eastAsiaTheme="minorHAnsi"/>
          <w:b/>
          <w:sz w:val="24"/>
          <w:szCs w:val="24"/>
          <w:lang w:val="bg-BG" w:eastAsia="en-US"/>
        </w:rPr>
      </w:pPr>
      <w:r w:rsidRPr="005A10AB">
        <w:rPr>
          <w:rFonts w:eastAsiaTheme="minorHAnsi"/>
          <w:sz w:val="24"/>
          <w:szCs w:val="24"/>
          <w:lang w:val="bg-BG" w:eastAsia="en-US"/>
        </w:rPr>
        <w:t xml:space="preserve">Изграждането на допълнителна инфраструктура трябва да бъде обосновано като част от всички мерки и дейности, които община/група общини или регион за управление на отпадъците е подходящо да предприемат за осигуряване на постигане на </w:t>
      </w:r>
      <w:r w:rsidRPr="005A10AB">
        <w:rPr>
          <w:rFonts w:eastAsiaTheme="minorHAnsi"/>
          <w:b/>
          <w:sz w:val="24"/>
          <w:szCs w:val="24"/>
          <w:lang w:val="bg-BG" w:eastAsia="en-US"/>
        </w:rPr>
        <w:t>крайните цели за 2020 г. по чл. 31, ал. 1</w:t>
      </w:r>
      <w:r w:rsidRPr="005A10AB">
        <w:rPr>
          <w:rFonts w:eastAsiaTheme="minorHAnsi"/>
          <w:sz w:val="24"/>
          <w:szCs w:val="24"/>
          <w:lang w:val="bg-BG" w:eastAsia="en-US"/>
        </w:rPr>
        <w:t xml:space="preserve"> от ЗУО</w:t>
      </w:r>
      <w:r w:rsidRPr="005A10AB">
        <w:rPr>
          <w:rFonts w:eastAsiaTheme="minorHAnsi"/>
          <w:sz w:val="24"/>
          <w:szCs w:val="24"/>
          <w:lang w:val="en-US" w:eastAsia="en-US"/>
        </w:rPr>
        <w:t>.</w:t>
      </w:r>
      <w:r w:rsidRPr="005A10AB">
        <w:rPr>
          <w:rFonts w:eastAsiaTheme="minorHAnsi"/>
          <w:sz w:val="24"/>
          <w:szCs w:val="24"/>
          <w:lang w:val="bg-BG" w:eastAsia="en-US"/>
        </w:rPr>
        <w:t xml:space="preserve">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При анализа следва да бъдат оценени два подхода – централизиран и  децентрализиран, по отношение на бъдещото изграждане на допълнителна инфраструктура за управление на битовите отпадъци като част от регионална система за управление на отпадъците (по смисъла на чл. 23, ал. 1 и ал. 2 от ЗУО).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За целите на настоящите указания и за извършването на анализа следва да се има предвид, че:</w:t>
      </w:r>
    </w:p>
    <w:p w:rsidR="005A10AB" w:rsidRPr="005A10AB" w:rsidRDefault="005A10AB" w:rsidP="005A10AB">
      <w:pPr>
        <w:numPr>
          <w:ilvl w:val="0"/>
          <w:numId w:val="7"/>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 xml:space="preserve"> „</w:t>
      </w:r>
      <w:r w:rsidRPr="005A10AB">
        <w:rPr>
          <w:rFonts w:eastAsiaTheme="minorHAnsi"/>
          <w:b/>
          <w:sz w:val="24"/>
          <w:szCs w:val="24"/>
          <w:lang w:val="bg-BG" w:eastAsia="en-US"/>
        </w:rPr>
        <w:t>Централизиран подход“</w:t>
      </w:r>
      <w:r w:rsidRPr="005A10AB">
        <w:rPr>
          <w:rFonts w:eastAsiaTheme="minorHAnsi"/>
          <w:sz w:val="24"/>
          <w:szCs w:val="24"/>
          <w:lang w:val="bg-BG" w:eastAsia="en-US"/>
        </w:rPr>
        <w:t xml:space="preserve"> е подход, при който се предвижда изграждане на инфраструктура за управление на отпадъците, която да бъде ползвана от всички общини от съответното регионално сдружение за управление на отпадъците.</w:t>
      </w:r>
    </w:p>
    <w:p w:rsidR="005A10AB" w:rsidRPr="005A10AB" w:rsidRDefault="005A10AB" w:rsidP="005A10AB">
      <w:pPr>
        <w:numPr>
          <w:ilvl w:val="0"/>
          <w:numId w:val="7"/>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lastRenderedPageBreak/>
        <w:t xml:space="preserve"> </w:t>
      </w:r>
      <w:r w:rsidRPr="005A10AB">
        <w:rPr>
          <w:rFonts w:eastAsiaTheme="minorHAnsi"/>
          <w:b/>
          <w:sz w:val="24"/>
          <w:szCs w:val="24"/>
          <w:lang w:val="bg-BG" w:eastAsia="en-US"/>
        </w:rPr>
        <w:t>„Децентрализиран подход“</w:t>
      </w:r>
      <w:r w:rsidRPr="005A10AB">
        <w:rPr>
          <w:rFonts w:eastAsiaTheme="minorHAnsi"/>
          <w:sz w:val="24"/>
          <w:szCs w:val="24"/>
          <w:lang w:val="bg-BG" w:eastAsia="en-US"/>
        </w:rPr>
        <w:t xml:space="preserve"> е подход, при който се предвижда изграждане на инфраструктура за управление на отпадъците, която да обслужва само една община или група от няколко общини в рамката на един регион за управление на отпадъци.</w:t>
      </w:r>
    </w:p>
    <w:p w:rsidR="005A10AB" w:rsidRPr="005A10AB" w:rsidRDefault="005A10AB" w:rsidP="005A10AB">
      <w:pPr>
        <w:numPr>
          <w:ilvl w:val="0"/>
          <w:numId w:val="7"/>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 xml:space="preserve"> „</w:t>
      </w:r>
      <w:r w:rsidRPr="005A10AB">
        <w:rPr>
          <w:rFonts w:eastAsiaTheme="minorHAnsi"/>
          <w:b/>
          <w:sz w:val="24"/>
          <w:szCs w:val="24"/>
          <w:lang w:val="bg-BG" w:eastAsia="en-US"/>
        </w:rPr>
        <w:t>Допълнителна инфраструктура</w:t>
      </w:r>
      <w:r w:rsidRPr="005A10AB">
        <w:rPr>
          <w:rFonts w:eastAsiaTheme="minorHAnsi"/>
          <w:sz w:val="24"/>
          <w:szCs w:val="24"/>
          <w:lang w:val="bg-BG" w:eastAsia="en-US"/>
        </w:rPr>
        <w:t xml:space="preserve">“ са предвидени за изграждане инсталации и съоръжения (по смисъла на </w:t>
      </w:r>
      <w:r w:rsidRPr="005A10AB">
        <w:rPr>
          <w:rFonts w:eastAsiaTheme="minorHAnsi"/>
          <w:i/>
          <w:sz w:val="24"/>
          <w:szCs w:val="24"/>
          <w:lang w:val="bg-BG" w:eastAsia="en-US"/>
        </w:rPr>
        <w:t>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5A10AB">
        <w:rPr>
          <w:rFonts w:eastAsiaTheme="minorHAnsi"/>
          <w:sz w:val="24"/>
          <w:szCs w:val="24"/>
          <w:lang w:val="bg-BG" w:eastAsia="en-US"/>
        </w:rPr>
        <w:t xml:space="preserve">) </w:t>
      </w:r>
      <w:r w:rsidRPr="005A10AB">
        <w:rPr>
          <w:rFonts w:eastAsiaTheme="minorHAnsi"/>
          <w:b/>
          <w:sz w:val="24"/>
          <w:szCs w:val="24"/>
          <w:lang w:val="bg-BG" w:eastAsia="en-US"/>
        </w:rPr>
        <w:t>за рециклиране, оползотворяване или за предварително третиране на битови отпадъци</w:t>
      </w:r>
      <w:r w:rsidRPr="005A10AB">
        <w:rPr>
          <w:rFonts w:eastAsiaTheme="minorHAnsi"/>
          <w:sz w:val="24"/>
          <w:szCs w:val="24"/>
          <w:lang w:val="bg-BG" w:eastAsia="en-US"/>
        </w:rPr>
        <w:t xml:space="preserve">.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Предвид целите на указанията и на анализа, инсталациите и съоръженията, които са предвидени като част от допълнителната инфраструктура за управление на отпадъците, следва да са такива, които са допустими за финансиране </w:t>
      </w:r>
      <w:r w:rsidR="004B21C2">
        <w:rPr>
          <w:rFonts w:eastAsiaTheme="minorHAnsi"/>
          <w:sz w:val="24"/>
          <w:szCs w:val="24"/>
          <w:lang w:val="bg-BG" w:eastAsia="en-US"/>
        </w:rPr>
        <w:t xml:space="preserve">по процедура </w:t>
      </w:r>
      <w:r w:rsidR="00951FDA" w:rsidRPr="001F76F5">
        <w:rPr>
          <w:rFonts w:eastAsiaTheme="minorHAnsi"/>
          <w:sz w:val="24"/>
          <w:szCs w:val="24"/>
          <w:lang w:val="bg-BG" w:eastAsia="en-US"/>
        </w:rPr>
        <w:t>„</w:t>
      </w:r>
      <w:r w:rsidR="00951FDA" w:rsidRPr="00A81592">
        <w:rPr>
          <w:rFonts w:eastAsiaTheme="minorHAnsi"/>
          <w:i/>
          <w:sz w:val="24"/>
          <w:szCs w:val="24"/>
          <w:lang w:val="bg-BG" w:eastAsia="en-US"/>
        </w:rPr>
        <w:t xml:space="preserve">Комбинирана процедура за проектиране и изграждане на </w:t>
      </w:r>
      <w:proofErr w:type="spellStart"/>
      <w:r w:rsidR="00951FDA" w:rsidRPr="00A81592">
        <w:rPr>
          <w:rFonts w:eastAsiaTheme="minorHAnsi"/>
          <w:i/>
          <w:sz w:val="24"/>
          <w:szCs w:val="24"/>
          <w:lang w:val="bg-BG" w:eastAsia="en-US"/>
        </w:rPr>
        <w:t>компостиращи</w:t>
      </w:r>
      <w:proofErr w:type="spellEnd"/>
      <w:r w:rsidR="00951FDA" w:rsidRPr="00A81592">
        <w:rPr>
          <w:rFonts w:eastAsiaTheme="minorHAnsi"/>
          <w:i/>
          <w:sz w:val="24"/>
          <w:szCs w:val="24"/>
          <w:lang w:val="bg-BG" w:eastAsia="en-US"/>
        </w:rPr>
        <w:t xml:space="preserve"> инсталации и на инсталации за предварително третиране на битови отпадъци</w:t>
      </w:r>
      <w:r w:rsidR="00951FDA" w:rsidRPr="001F76F5">
        <w:rPr>
          <w:rFonts w:eastAsiaTheme="minorHAnsi"/>
          <w:sz w:val="24"/>
          <w:szCs w:val="24"/>
          <w:lang w:val="bg-BG" w:eastAsia="en-US"/>
        </w:rPr>
        <w:t>“</w:t>
      </w:r>
      <w:r w:rsidRPr="005A10AB">
        <w:rPr>
          <w:rFonts w:eastAsiaTheme="minorHAnsi"/>
          <w:sz w:val="24"/>
          <w:szCs w:val="24"/>
          <w:lang w:val="bg-BG" w:eastAsia="en-US"/>
        </w:rPr>
        <w:t xml:space="preserve"> и са единствено и само:</w:t>
      </w:r>
    </w:p>
    <w:p w:rsidR="005A10AB" w:rsidRPr="005A10AB" w:rsidRDefault="005A10AB" w:rsidP="005A10AB">
      <w:pPr>
        <w:numPr>
          <w:ilvl w:val="0"/>
          <w:numId w:val="9"/>
        </w:numPr>
        <w:spacing w:after="200" w:line="276" w:lineRule="auto"/>
        <w:contextualSpacing/>
        <w:jc w:val="both"/>
        <w:rPr>
          <w:rFonts w:eastAsiaTheme="minorHAnsi"/>
          <w:b/>
          <w:sz w:val="24"/>
          <w:szCs w:val="24"/>
          <w:lang w:val="bg-BG" w:eastAsia="en-US"/>
        </w:rPr>
      </w:pPr>
      <w:r w:rsidRPr="005A10AB">
        <w:rPr>
          <w:rFonts w:eastAsiaTheme="minorHAnsi"/>
          <w:b/>
          <w:sz w:val="24"/>
          <w:szCs w:val="24"/>
          <w:lang w:val="bg-BG" w:eastAsia="en-US"/>
        </w:rPr>
        <w:t>инсталации за предварително третиране на битови отпадъци;</w:t>
      </w:r>
    </w:p>
    <w:p w:rsidR="005A10AB" w:rsidRPr="005A10AB" w:rsidRDefault="005A10AB" w:rsidP="005A10AB">
      <w:pPr>
        <w:numPr>
          <w:ilvl w:val="0"/>
          <w:numId w:val="9"/>
        </w:numPr>
        <w:spacing w:after="200" w:line="276" w:lineRule="auto"/>
        <w:contextualSpacing/>
        <w:jc w:val="both"/>
        <w:rPr>
          <w:rFonts w:eastAsiaTheme="minorHAnsi"/>
          <w:sz w:val="24"/>
          <w:szCs w:val="24"/>
          <w:lang w:val="bg-BG" w:eastAsia="en-US"/>
        </w:rPr>
      </w:pPr>
      <w:proofErr w:type="spellStart"/>
      <w:r w:rsidRPr="005A10AB">
        <w:rPr>
          <w:rFonts w:eastAsiaTheme="minorHAnsi"/>
          <w:b/>
          <w:sz w:val="24"/>
          <w:szCs w:val="24"/>
          <w:lang w:val="bg-BG" w:eastAsia="en-US"/>
        </w:rPr>
        <w:t>компостиращи</w:t>
      </w:r>
      <w:proofErr w:type="spellEnd"/>
      <w:r w:rsidRPr="005A10AB">
        <w:rPr>
          <w:rFonts w:eastAsiaTheme="minorHAnsi"/>
          <w:b/>
          <w:sz w:val="24"/>
          <w:szCs w:val="24"/>
          <w:lang w:val="bg-BG" w:eastAsia="en-US"/>
        </w:rPr>
        <w:t xml:space="preserve"> инсталации за разделно събрани биоразградими и /или зелени отпадъци</w:t>
      </w:r>
      <w:r w:rsidRPr="005A10AB">
        <w:rPr>
          <w:rFonts w:eastAsiaTheme="minorHAnsi"/>
          <w:sz w:val="24"/>
          <w:szCs w:val="24"/>
          <w:lang w:val="bg-BG" w:eastAsia="en-US"/>
        </w:rPr>
        <w:t>.</w:t>
      </w:r>
    </w:p>
    <w:p w:rsidR="005A10AB" w:rsidRPr="005A10AB" w:rsidRDefault="005A10AB" w:rsidP="005A10AB">
      <w:pPr>
        <w:jc w:val="both"/>
        <w:rPr>
          <w:rFonts w:eastAsiaTheme="minorHAnsi"/>
          <w:sz w:val="24"/>
          <w:szCs w:val="24"/>
          <w:lang w:val="bg-BG" w:eastAsia="en-US"/>
        </w:rPr>
      </w:pPr>
    </w:p>
    <w:p w:rsidR="005A10AB" w:rsidRDefault="00816EBB" w:rsidP="005A10AB">
      <w:pPr>
        <w:ind w:firstLine="720"/>
        <w:jc w:val="both"/>
        <w:rPr>
          <w:rFonts w:eastAsiaTheme="minorHAnsi"/>
          <w:sz w:val="24"/>
          <w:szCs w:val="24"/>
          <w:lang w:val="bg-BG" w:eastAsia="en-US"/>
        </w:rPr>
      </w:pPr>
      <w:r>
        <w:rPr>
          <w:rFonts w:eastAsiaTheme="minorHAnsi"/>
          <w:sz w:val="24"/>
          <w:szCs w:val="24"/>
          <w:lang w:val="bg-BG" w:eastAsia="en-US"/>
        </w:rPr>
        <w:t>З</w:t>
      </w:r>
      <w:r w:rsidR="005A10AB" w:rsidRPr="005A10AB">
        <w:rPr>
          <w:rFonts w:eastAsiaTheme="minorHAnsi"/>
          <w:sz w:val="24"/>
          <w:szCs w:val="24"/>
          <w:lang w:val="bg-BG" w:eastAsia="en-US"/>
        </w:rPr>
        <w:t xml:space="preserve">а целите на кандидатстването следва да се изготвят </w:t>
      </w:r>
      <w:r w:rsidR="005A10AB" w:rsidRPr="005A10AB">
        <w:rPr>
          <w:rFonts w:eastAsiaTheme="minorHAnsi"/>
          <w:b/>
          <w:sz w:val="24"/>
          <w:szCs w:val="24"/>
          <w:lang w:val="bg-BG" w:eastAsia="en-US"/>
        </w:rPr>
        <w:t>отделни анализи за по-ефективен подход, поотделно за всеки вид инсталация</w:t>
      </w:r>
      <w:r w:rsidR="005A10AB" w:rsidRPr="005A10AB">
        <w:rPr>
          <w:rFonts w:eastAsiaTheme="minorHAnsi"/>
          <w:sz w:val="24"/>
          <w:szCs w:val="24"/>
          <w:lang w:val="bg-BG" w:eastAsia="en-US"/>
        </w:rPr>
        <w:t xml:space="preserve">. За да се прецени кой подход е по-ефективен – централизиран или децентрализиран, за целите на анализа се сравняват само инсталации за предварително третиране или само </w:t>
      </w:r>
      <w:proofErr w:type="spellStart"/>
      <w:r w:rsidR="005A10AB" w:rsidRPr="005A10AB">
        <w:rPr>
          <w:rFonts w:eastAsiaTheme="minorHAnsi"/>
          <w:sz w:val="24"/>
          <w:szCs w:val="24"/>
          <w:lang w:val="bg-BG" w:eastAsia="en-US"/>
        </w:rPr>
        <w:t>компостиращи</w:t>
      </w:r>
      <w:proofErr w:type="spellEnd"/>
      <w:r w:rsidR="005A10AB" w:rsidRPr="005A10AB">
        <w:rPr>
          <w:rFonts w:eastAsiaTheme="minorHAnsi"/>
          <w:sz w:val="24"/>
          <w:szCs w:val="24"/>
          <w:lang w:val="bg-BG" w:eastAsia="en-US"/>
        </w:rPr>
        <w:t xml:space="preserve"> инсталации, които са допустими за финансиране по процедура</w:t>
      </w:r>
      <w:r>
        <w:rPr>
          <w:rFonts w:eastAsiaTheme="minorHAnsi"/>
          <w:sz w:val="24"/>
          <w:szCs w:val="24"/>
          <w:lang w:val="bg-BG" w:eastAsia="en-US"/>
        </w:rPr>
        <w:t>та</w:t>
      </w:r>
      <w:r w:rsidR="005A10AB" w:rsidRPr="005A10AB">
        <w:rPr>
          <w:rFonts w:eastAsiaTheme="minorHAnsi"/>
          <w:sz w:val="24"/>
          <w:szCs w:val="24"/>
          <w:lang w:val="bg-BG" w:eastAsia="en-US"/>
        </w:rPr>
        <w:t xml:space="preserve">. </w:t>
      </w:r>
      <w:r w:rsidR="005A10AB" w:rsidRPr="00521929">
        <w:rPr>
          <w:rFonts w:eastAsiaTheme="minorHAnsi"/>
          <w:b/>
          <w:sz w:val="24"/>
          <w:szCs w:val="24"/>
          <w:lang w:val="bg-BG" w:eastAsia="en-US"/>
        </w:rPr>
        <w:t>Не се прави съпоставка между различни видове инсталации и/или различни технологии за третиране на отпадъци.</w:t>
      </w:r>
      <w:r w:rsidR="005A10AB" w:rsidRPr="005A10AB">
        <w:rPr>
          <w:rFonts w:eastAsiaTheme="minorHAnsi"/>
          <w:sz w:val="24"/>
          <w:szCs w:val="24"/>
          <w:lang w:val="bg-BG" w:eastAsia="en-US"/>
        </w:rPr>
        <w:t xml:space="preserve"> </w:t>
      </w:r>
    </w:p>
    <w:p w:rsidR="005047A1" w:rsidRDefault="005047A1" w:rsidP="005A10AB">
      <w:pPr>
        <w:ind w:firstLine="720"/>
        <w:jc w:val="both"/>
        <w:rPr>
          <w:rFonts w:eastAsiaTheme="minorHAnsi"/>
          <w:sz w:val="24"/>
          <w:szCs w:val="24"/>
          <w:lang w:val="bg-BG" w:eastAsia="en-US"/>
        </w:rPr>
      </w:pPr>
    </w:p>
    <w:p w:rsidR="00C16965" w:rsidRDefault="00C16965" w:rsidP="005A10AB">
      <w:pPr>
        <w:ind w:firstLine="720"/>
        <w:jc w:val="both"/>
        <w:rPr>
          <w:rFonts w:eastAsiaTheme="minorHAnsi"/>
          <w:sz w:val="24"/>
          <w:szCs w:val="24"/>
          <w:lang w:val="bg-BG" w:eastAsia="en-US"/>
        </w:rPr>
      </w:pPr>
      <w:r>
        <w:rPr>
          <w:rFonts w:eastAsiaTheme="minorHAnsi"/>
          <w:sz w:val="24"/>
          <w:szCs w:val="24"/>
          <w:lang w:val="bg-BG" w:eastAsia="en-US"/>
        </w:rPr>
        <w:t>Ако РСУО се състои само от една община, също е необходимо да бъдат изготвени изискващите се анализи и съпоставка на подходите. В този случай децентрализирания</w:t>
      </w:r>
      <w:r w:rsidR="00E76E07">
        <w:rPr>
          <w:rFonts w:eastAsiaTheme="minorHAnsi"/>
          <w:sz w:val="24"/>
          <w:szCs w:val="24"/>
          <w:lang w:val="bg-BG" w:eastAsia="en-US"/>
        </w:rPr>
        <w:t>т</w:t>
      </w:r>
      <w:r>
        <w:rPr>
          <w:rFonts w:eastAsiaTheme="minorHAnsi"/>
          <w:sz w:val="24"/>
          <w:szCs w:val="24"/>
          <w:lang w:val="bg-BG" w:eastAsia="en-US"/>
        </w:rPr>
        <w:t xml:space="preserve"> подход може да включва няколко инсталации за </w:t>
      </w:r>
      <w:proofErr w:type="spellStart"/>
      <w:r>
        <w:rPr>
          <w:rFonts w:eastAsiaTheme="minorHAnsi"/>
          <w:sz w:val="24"/>
          <w:szCs w:val="24"/>
          <w:lang w:val="bg-BG" w:eastAsia="en-US"/>
        </w:rPr>
        <w:t>компостиране</w:t>
      </w:r>
      <w:proofErr w:type="spellEnd"/>
      <w:r>
        <w:rPr>
          <w:rFonts w:eastAsiaTheme="minorHAnsi"/>
          <w:sz w:val="24"/>
          <w:szCs w:val="24"/>
          <w:lang w:val="bg-BG" w:eastAsia="en-US"/>
        </w:rPr>
        <w:t>, разположени в общината, но в землищата на различни населени места.</w:t>
      </w:r>
    </w:p>
    <w:p w:rsidR="005047A1" w:rsidRDefault="005047A1" w:rsidP="005A10AB">
      <w:pPr>
        <w:ind w:firstLine="720"/>
        <w:jc w:val="both"/>
        <w:rPr>
          <w:rFonts w:eastAsiaTheme="minorHAnsi"/>
          <w:sz w:val="24"/>
          <w:szCs w:val="24"/>
          <w:lang w:val="bg-BG" w:eastAsia="en-US"/>
        </w:rPr>
      </w:pPr>
    </w:p>
    <w:p w:rsidR="00C16965" w:rsidRPr="005A10AB" w:rsidRDefault="00C16965" w:rsidP="005A10AB">
      <w:pPr>
        <w:ind w:firstLine="720"/>
        <w:jc w:val="both"/>
        <w:rPr>
          <w:rFonts w:eastAsiaTheme="minorHAnsi"/>
          <w:sz w:val="24"/>
          <w:szCs w:val="24"/>
          <w:lang w:val="bg-BG" w:eastAsia="en-US"/>
        </w:rPr>
      </w:pPr>
      <w:r>
        <w:rPr>
          <w:rFonts w:eastAsiaTheme="minorHAnsi"/>
          <w:sz w:val="24"/>
          <w:szCs w:val="24"/>
          <w:lang w:val="bg-BG" w:eastAsia="en-US"/>
        </w:rPr>
        <w:t xml:space="preserve">Възможни са случаи, при които, въз основа на морфологичните анализи и прогнози за всички общини от съответното РСУО, се доказва капацитет на инсталация за </w:t>
      </w:r>
      <w:proofErr w:type="spellStart"/>
      <w:r>
        <w:rPr>
          <w:rFonts w:eastAsiaTheme="minorHAnsi"/>
          <w:sz w:val="24"/>
          <w:szCs w:val="24"/>
          <w:lang w:val="bg-BG" w:eastAsia="en-US"/>
        </w:rPr>
        <w:t>компостиране</w:t>
      </w:r>
      <w:proofErr w:type="spellEnd"/>
      <w:r w:rsidRPr="00C16965">
        <w:rPr>
          <w:rFonts w:eastAsiaTheme="minorHAnsi"/>
          <w:sz w:val="24"/>
          <w:szCs w:val="24"/>
          <w:lang w:val="bg-BG" w:eastAsia="en-US"/>
        </w:rPr>
        <w:t xml:space="preserve"> </w:t>
      </w:r>
      <w:r>
        <w:rPr>
          <w:rFonts w:eastAsiaTheme="minorHAnsi"/>
          <w:sz w:val="24"/>
          <w:szCs w:val="24"/>
          <w:lang w:val="bg-BG" w:eastAsia="en-US"/>
        </w:rPr>
        <w:t>общо за региона, който съвпада с минималния капацитет за такава инсталация съгла</w:t>
      </w:r>
      <w:r w:rsidR="0038617F">
        <w:rPr>
          <w:rFonts w:eastAsiaTheme="minorHAnsi"/>
          <w:sz w:val="24"/>
          <w:szCs w:val="24"/>
          <w:lang w:val="bg-BG" w:eastAsia="en-US"/>
        </w:rPr>
        <w:t>сно насоки</w:t>
      </w:r>
      <w:r w:rsidR="001235BA">
        <w:rPr>
          <w:rFonts w:eastAsiaTheme="minorHAnsi"/>
          <w:sz w:val="24"/>
          <w:szCs w:val="24"/>
          <w:lang w:val="bg-BG" w:eastAsia="en-US"/>
        </w:rPr>
        <w:t>те</w:t>
      </w:r>
      <w:r w:rsidR="0038617F">
        <w:rPr>
          <w:rFonts w:eastAsiaTheme="minorHAnsi"/>
          <w:sz w:val="24"/>
          <w:szCs w:val="24"/>
          <w:lang w:val="bg-BG" w:eastAsia="en-US"/>
        </w:rPr>
        <w:t xml:space="preserve"> за кандидатстване по </w:t>
      </w:r>
      <w:r>
        <w:rPr>
          <w:rFonts w:eastAsiaTheme="minorHAnsi"/>
          <w:sz w:val="24"/>
          <w:szCs w:val="24"/>
          <w:lang w:val="bg-BG" w:eastAsia="en-US"/>
        </w:rPr>
        <w:t>процедура</w:t>
      </w:r>
      <w:r w:rsidR="001235BA">
        <w:rPr>
          <w:rFonts w:eastAsiaTheme="minorHAnsi"/>
          <w:sz w:val="24"/>
          <w:szCs w:val="24"/>
          <w:lang w:val="bg-BG" w:eastAsia="en-US"/>
        </w:rPr>
        <w:t>та</w:t>
      </w:r>
      <w:r>
        <w:rPr>
          <w:rFonts w:eastAsiaTheme="minorHAnsi"/>
          <w:sz w:val="24"/>
          <w:szCs w:val="24"/>
          <w:lang w:val="bg-BG" w:eastAsia="en-US"/>
        </w:rPr>
        <w:t xml:space="preserve">. За тези случаи също се съпоставят два подхода – централизиран и децентрализиран, като при децентрализирания подход се включват </w:t>
      </w:r>
      <w:r w:rsidR="0038617F">
        <w:rPr>
          <w:rFonts w:eastAsiaTheme="minorHAnsi"/>
          <w:sz w:val="24"/>
          <w:szCs w:val="24"/>
          <w:lang w:val="bg-BG" w:eastAsia="en-US"/>
        </w:rPr>
        <w:t>две</w:t>
      </w:r>
      <w:r>
        <w:rPr>
          <w:rFonts w:eastAsiaTheme="minorHAnsi"/>
          <w:sz w:val="24"/>
          <w:szCs w:val="24"/>
          <w:lang w:val="bg-BG" w:eastAsia="en-US"/>
        </w:rPr>
        <w:t xml:space="preserve"> или повече инсталации за </w:t>
      </w:r>
      <w:proofErr w:type="spellStart"/>
      <w:r>
        <w:rPr>
          <w:rFonts w:eastAsiaTheme="minorHAnsi"/>
          <w:sz w:val="24"/>
          <w:szCs w:val="24"/>
          <w:lang w:val="bg-BG" w:eastAsia="en-US"/>
        </w:rPr>
        <w:t>компостиране</w:t>
      </w:r>
      <w:proofErr w:type="spellEnd"/>
      <w:r>
        <w:rPr>
          <w:rFonts w:eastAsiaTheme="minorHAnsi"/>
          <w:sz w:val="24"/>
          <w:szCs w:val="24"/>
          <w:lang w:val="bg-BG" w:eastAsia="en-US"/>
        </w:rPr>
        <w:t xml:space="preserve"> със съответните доказани капацитети, независимо дали са под опредения в насоките минимален капацитет. </w:t>
      </w:r>
      <w:r w:rsidR="0011067A">
        <w:rPr>
          <w:rFonts w:eastAsiaTheme="minorHAnsi"/>
          <w:sz w:val="24"/>
          <w:szCs w:val="24"/>
          <w:lang w:val="bg-BG" w:eastAsia="en-US"/>
        </w:rPr>
        <w:t xml:space="preserve">Остойностяването на разходите за строителство за такива инсталации следва да бъде извършено въз основа на информация за подобни изградени </w:t>
      </w:r>
      <w:r w:rsidR="0038617F">
        <w:rPr>
          <w:rFonts w:eastAsiaTheme="minorHAnsi"/>
          <w:sz w:val="24"/>
          <w:szCs w:val="24"/>
          <w:lang w:val="bg-BG" w:eastAsia="en-US"/>
        </w:rPr>
        <w:t xml:space="preserve">или изграждащи се </w:t>
      </w:r>
      <w:r w:rsidR="0011067A">
        <w:rPr>
          <w:rFonts w:eastAsiaTheme="minorHAnsi"/>
          <w:sz w:val="24"/>
          <w:szCs w:val="24"/>
          <w:lang w:val="bg-BG" w:eastAsia="en-US"/>
        </w:rPr>
        <w:t xml:space="preserve">инсталации с подобен капацитет или по </w:t>
      </w:r>
      <w:proofErr w:type="spellStart"/>
      <w:r w:rsidR="0011067A">
        <w:rPr>
          <w:rFonts w:eastAsiaTheme="minorHAnsi"/>
          <w:sz w:val="24"/>
          <w:szCs w:val="24"/>
          <w:lang w:val="bg-BG" w:eastAsia="en-US"/>
        </w:rPr>
        <w:t>окрупнени</w:t>
      </w:r>
      <w:proofErr w:type="spellEnd"/>
      <w:r w:rsidR="0011067A">
        <w:rPr>
          <w:rFonts w:eastAsiaTheme="minorHAnsi"/>
          <w:sz w:val="24"/>
          <w:szCs w:val="24"/>
          <w:lang w:val="bg-BG" w:eastAsia="en-US"/>
        </w:rPr>
        <w:t xml:space="preserve"> стойности, по аналогия с представените в </w:t>
      </w:r>
      <w:r w:rsidR="00553EEF">
        <w:rPr>
          <w:rFonts w:eastAsiaTheme="minorHAnsi"/>
          <w:sz w:val="24"/>
          <w:szCs w:val="24"/>
          <w:lang w:val="bg-BG" w:eastAsia="en-US"/>
        </w:rPr>
        <w:t xml:space="preserve">таблица № 1a, </w:t>
      </w:r>
      <w:r w:rsidR="00553EEF" w:rsidRPr="00553EEF">
        <w:rPr>
          <w:rFonts w:eastAsiaTheme="minorHAnsi"/>
          <w:sz w:val="24"/>
          <w:szCs w:val="24"/>
          <w:lang w:val="bg-BG" w:eastAsia="en-US"/>
        </w:rPr>
        <w:t>лист "</w:t>
      </w:r>
      <w:proofErr w:type="spellStart"/>
      <w:r w:rsidR="00553EEF" w:rsidRPr="00553EEF">
        <w:rPr>
          <w:rFonts w:eastAsiaTheme="minorHAnsi"/>
          <w:sz w:val="24"/>
          <w:szCs w:val="24"/>
          <w:lang w:val="bg-BG" w:eastAsia="en-US"/>
        </w:rPr>
        <w:t>Окрупнени</w:t>
      </w:r>
      <w:proofErr w:type="spellEnd"/>
      <w:r w:rsidR="00553EEF" w:rsidRPr="00553EEF">
        <w:rPr>
          <w:rFonts w:eastAsiaTheme="minorHAnsi"/>
          <w:sz w:val="24"/>
          <w:szCs w:val="24"/>
          <w:lang w:val="bg-BG" w:eastAsia="en-US"/>
        </w:rPr>
        <w:t xml:space="preserve"> стойности"</w:t>
      </w:r>
      <w:r w:rsidR="00553EEF">
        <w:rPr>
          <w:rFonts w:eastAsiaTheme="minorHAnsi"/>
          <w:sz w:val="24"/>
          <w:szCs w:val="24"/>
          <w:lang w:val="bg-BG" w:eastAsia="en-US"/>
        </w:rPr>
        <w:t xml:space="preserve"> на Приложение № 2.</w:t>
      </w:r>
    </w:p>
    <w:p w:rsidR="005A10AB" w:rsidRPr="005A10AB" w:rsidRDefault="005A10AB" w:rsidP="005A10AB">
      <w:pPr>
        <w:ind w:firstLine="720"/>
        <w:jc w:val="both"/>
        <w:rPr>
          <w:rFonts w:eastAsiaTheme="minorHAnsi"/>
          <w:sz w:val="24"/>
          <w:szCs w:val="24"/>
          <w:lang w:val="bg-BG" w:eastAsia="en-US"/>
        </w:rPr>
      </w:pPr>
    </w:p>
    <w:p w:rsid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При съпоставката на алтернативите следва задължително да бъдат анализирани и необходимостта от проектиране и изграждане на съпътстваща инфраструктура към инсталациите, допустими за финансиране по </w:t>
      </w:r>
      <w:r w:rsidR="001235BA">
        <w:rPr>
          <w:rFonts w:eastAsiaTheme="minorHAnsi"/>
          <w:sz w:val="24"/>
          <w:szCs w:val="24"/>
          <w:lang w:val="bg-BG" w:eastAsia="en-US"/>
        </w:rPr>
        <w:t>процедурата.</w:t>
      </w:r>
      <w:r w:rsidRPr="005A10AB">
        <w:rPr>
          <w:rFonts w:eastAsiaTheme="minorHAnsi"/>
          <w:sz w:val="24"/>
          <w:szCs w:val="24"/>
          <w:lang w:val="bg-BG" w:eastAsia="en-US"/>
        </w:rPr>
        <w:t xml:space="preserve"> </w:t>
      </w:r>
    </w:p>
    <w:p w:rsidR="005047A1" w:rsidRPr="005A10AB" w:rsidRDefault="005047A1"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Също така следва да бъде анализирана практиката по разделното събиране на зелени и/или биоразградими отпадъци, както и необходимостта от осигуряване на допълнително или изцяло ново оборудване и съоръжения и техника за тяхното разделно събиране. За целите на </w:t>
      </w:r>
      <w:r w:rsidRPr="005A10AB">
        <w:rPr>
          <w:rFonts w:eastAsiaTheme="minorHAnsi"/>
          <w:sz w:val="24"/>
          <w:szCs w:val="24"/>
          <w:lang w:val="bg-BG" w:eastAsia="en-US"/>
        </w:rPr>
        <w:lastRenderedPageBreak/>
        <w:t xml:space="preserve">кандидатстването по </w:t>
      </w:r>
      <w:r w:rsidR="001235BA">
        <w:rPr>
          <w:rFonts w:eastAsiaTheme="minorHAnsi"/>
          <w:sz w:val="24"/>
          <w:szCs w:val="24"/>
          <w:lang w:val="bg-BG" w:eastAsia="en-US"/>
        </w:rPr>
        <w:t>процедурата</w:t>
      </w:r>
      <w:r w:rsidRPr="005A10AB">
        <w:rPr>
          <w:rFonts w:eastAsiaTheme="minorHAnsi"/>
          <w:sz w:val="24"/>
          <w:szCs w:val="24"/>
          <w:lang w:val="bg-BG" w:eastAsia="en-US"/>
        </w:rPr>
        <w:t>, при остойностяването на инсталациите следва да се предвидят и разходите за съоръжения и техника за разделно събиране на зелени и/или биоразградими отпадъци.</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При изготвянето на анализа, предмет на настоящите указания, се прилага следния подход:</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 </w:t>
      </w:r>
      <w:r w:rsidRPr="005A10AB">
        <w:rPr>
          <w:rFonts w:eastAsiaTheme="minorHAnsi"/>
          <w:b/>
          <w:sz w:val="24"/>
          <w:szCs w:val="24"/>
          <w:u w:val="single"/>
          <w:lang w:val="bg-BG" w:eastAsia="en-US"/>
        </w:rPr>
        <w:t>Стъпка 1:</w:t>
      </w:r>
      <w:r w:rsidRPr="005A10AB">
        <w:rPr>
          <w:rFonts w:eastAsiaTheme="minorHAnsi"/>
          <w:sz w:val="24"/>
          <w:szCs w:val="24"/>
          <w:lang w:val="bg-BG" w:eastAsia="en-US"/>
        </w:rPr>
        <w:t xml:space="preserve"> Идентифициране на </w:t>
      </w:r>
      <w:r w:rsidRPr="005A10AB">
        <w:rPr>
          <w:rFonts w:eastAsiaTheme="minorHAnsi"/>
          <w:b/>
          <w:sz w:val="24"/>
          <w:szCs w:val="24"/>
          <w:lang w:val="bg-BG" w:eastAsia="en-US"/>
        </w:rPr>
        <w:t>необходимост от изграждане на допълнителна инфраструктура</w:t>
      </w:r>
      <w:r w:rsidRPr="005A10AB">
        <w:rPr>
          <w:rFonts w:eastAsiaTheme="minorHAnsi"/>
          <w:sz w:val="24"/>
          <w:szCs w:val="24"/>
          <w:lang w:val="bg-BG" w:eastAsia="en-US"/>
        </w:rPr>
        <w:t xml:space="preserve"> за управление на отпадъците в съответствие с алтернативите за постигане на целите, съдържащи се в Общинските/Регионални програми за управление на отпадъците. Необходимостта от допълнителна инфраструктура се доказва, като за целта се изготвя отделен анализ </w:t>
      </w:r>
      <w:r w:rsidRPr="00C5686E">
        <w:rPr>
          <w:rFonts w:eastAsiaTheme="minorHAnsi"/>
          <w:b/>
          <w:sz w:val="24"/>
          <w:szCs w:val="24"/>
          <w:lang w:val="bg-BG" w:eastAsia="en-US"/>
        </w:rPr>
        <w:t>на ниво регион за управление на отпадъците</w:t>
      </w:r>
      <w:r w:rsidRPr="005A10AB">
        <w:rPr>
          <w:rFonts w:eastAsiaTheme="minorHAnsi"/>
          <w:sz w:val="24"/>
          <w:szCs w:val="24"/>
          <w:lang w:val="bg-BG" w:eastAsia="en-US"/>
        </w:rPr>
        <w:t xml:space="preserve"> съгласно Приложение № 1 към указанията.</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w:t>
      </w:r>
      <w:r w:rsidRPr="005A10AB">
        <w:rPr>
          <w:rFonts w:eastAsiaTheme="minorHAnsi"/>
          <w:b/>
          <w:sz w:val="24"/>
          <w:szCs w:val="24"/>
          <w:lang w:val="bg-BG" w:eastAsia="en-US"/>
        </w:rPr>
        <w:t xml:space="preserve"> </w:t>
      </w:r>
      <w:r w:rsidRPr="005A10AB">
        <w:rPr>
          <w:rFonts w:eastAsiaTheme="minorHAnsi"/>
          <w:b/>
          <w:sz w:val="24"/>
          <w:szCs w:val="24"/>
          <w:u w:val="single"/>
          <w:lang w:val="bg-BG" w:eastAsia="en-US"/>
        </w:rPr>
        <w:t>Стъпка 2:</w:t>
      </w:r>
      <w:r w:rsidRPr="005A10AB">
        <w:rPr>
          <w:rFonts w:eastAsiaTheme="minorHAnsi"/>
          <w:b/>
          <w:sz w:val="24"/>
          <w:szCs w:val="24"/>
          <w:lang w:val="bg-BG" w:eastAsia="en-US"/>
        </w:rPr>
        <w:t xml:space="preserve"> Изготвяне на предварителни </w:t>
      </w:r>
      <w:proofErr w:type="spellStart"/>
      <w:r w:rsidRPr="005A10AB">
        <w:rPr>
          <w:rFonts w:eastAsiaTheme="minorHAnsi"/>
          <w:b/>
          <w:sz w:val="24"/>
          <w:szCs w:val="24"/>
          <w:lang w:val="bg-BG" w:eastAsia="en-US"/>
        </w:rPr>
        <w:t>прединвестиционни</w:t>
      </w:r>
      <w:proofErr w:type="spellEnd"/>
      <w:r w:rsidRPr="005A10AB">
        <w:rPr>
          <w:rFonts w:eastAsiaTheme="minorHAnsi"/>
          <w:b/>
          <w:sz w:val="24"/>
          <w:szCs w:val="24"/>
          <w:lang w:val="bg-BG" w:eastAsia="en-US"/>
        </w:rPr>
        <w:t xml:space="preserve"> проучвания</w:t>
      </w:r>
      <w:r w:rsidRPr="005A10AB">
        <w:rPr>
          <w:rFonts w:eastAsiaTheme="minorHAnsi"/>
          <w:sz w:val="24"/>
          <w:szCs w:val="24"/>
          <w:lang w:val="bg-BG" w:eastAsia="en-US"/>
        </w:rPr>
        <w:t xml:space="preserve"> за необходимата </w:t>
      </w:r>
      <w:r w:rsidRPr="005A10AB">
        <w:rPr>
          <w:rFonts w:eastAsiaTheme="minorHAnsi"/>
          <w:b/>
          <w:sz w:val="24"/>
          <w:szCs w:val="24"/>
          <w:lang w:val="bg-BG" w:eastAsia="en-US"/>
        </w:rPr>
        <w:t>допълнителна инфраструктура</w:t>
      </w:r>
      <w:r w:rsidRPr="005A10AB">
        <w:rPr>
          <w:rFonts w:eastAsiaTheme="minorHAnsi"/>
          <w:sz w:val="24"/>
          <w:szCs w:val="24"/>
          <w:lang w:val="bg-BG" w:eastAsia="en-US"/>
        </w:rPr>
        <w:t xml:space="preserve">, вкл. капацитет на инсталациите, необходимите съдове и техника за разделно събиране на зелени и/или биоразградими отпадъци,  местоположение на инсталациите и др. Изчисляването на необходимия капацитет и проучването на </w:t>
      </w:r>
      <w:proofErr w:type="spellStart"/>
      <w:r w:rsidRPr="005A10AB">
        <w:rPr>
          <w:rFonts w:eastAsiaTheme="minorHAnsi"/>
          <w:sz w:val="24"/>
          <w:szCs w:val="24"/>
          <w:lang w:val="bg-BG" w:eastAsia="en-US"/>
        </w:rPr>
        <w:t>местопложението</w:t>
      </w:r>
      <w:proofErr w:type="spellEnd"/>
      <w:r w:rsidRPr="005A10AB">
        <w:rPr>
          <w:rFonts w:eastAsiaTheme="minorHAnsi"/>
          <w:sz w:val="24"/>
          <w:szCs w:val="24"/>
          <w:lang w:val="bg-BG" w:eastAsia="en-US"/>
        </w:rPr>
        <w:t xml:space="preserve"> се прави поотделно при анализиране приложимостта на централизиран подход и при анализиране приложимостта на децентрализиран подход.</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При централизиран подход, следва да се разгледа възможността допълнителната инфраструктура да бъде изградена на площадката на регионално депо или да бъде разположена на терени в непосредствена близост до него. При децентрализирания подход следва да се проучат и предложат различни площадки, като за целите на анализа като минимум следва да са налични данни за:</w:t>
      </w:r>
    </w:p>
    <w:p w:rsidR="005A10AB" w:rsidRPr="005A10AB" w:rsidRDefault="005A10AB" w:rsidP="005A10AB">
      <w:pPr>
        <w:numPr>
          <w:ilvl w:val="0"/>
          <w:numId w:val="8"/>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землищата на съответните населени места;</w:t>
      </w:r>
    </w:p>
    <w:p w:rsidR="005A10AB" w:rsidRPr="005A10AB" w:rsidRDefault="005A10AB" w:rsidP="005A10AB">
      <w:pPr>
        <w:numPr>
          <w:ilvl w:val="0"/>
          <w:numId w:val="8"/>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разстояние между площадката и населените места, които ще бъдат обслужвани от инсталацията/инсталациите;</w:t>
      </w:r>
    </w:p>
    <w:p w:rsidR="005A10AB" w:rsidRPr="005A10AB" w:rsidRDefault="005A10AB" w:rsidP="005A10AB">
      <w:pPr>
        <w:numPr>
          <w:ilvl w:val="0"/>
          <w:numId w:val="8"/>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 xml:space="preserve">налична съпътстваща и довеждаща инфраструктура (път, електропровод, канализация, водопровод и др.); </w:t>
      </w:r>
    </w:p>
    <w:p w:rsidR="005A10AB" w:rsidRPr="005A10AB" w:rsidRDefault="005A10AB" w:rsidP="005A10AB">
      <w:pPr>
        <w:numPr>
          <w:ilvl w:val="0"/>
          <w:numId w:val="8"/>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вид и предназначение на територия (урбанизирана, горски фонд, селскостопански фонд, нарушен терен, други);</w:t>
      </w:r>
    </w:p>
    <w:p w:rsidR="005A10AB" w:rsidRPr="005A10AB" w:rsidRDefault="005A10AB" w:rsidP="005A10AB">
      <w:pPr>
        <w:numPr>
          <w:ilvl w:val="0"/>
          <w:numId w:val="8"/>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обща площ на имотите;</w:t>
      </w:r>
    </w:p>
    <w:p w:rsidR="005A10AB" w:rsidRPr="005A10AB" w:rsidRDefault="005A10AB" w:rsidP="005A10AB">
      <w:pPr>
        <w:numPr>
          <w:ilvl w:val="0"/>
          <w:numId w:val="8"/>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собственост и необходимост от закупуване на земя или учредяване на ограничени вещни права.</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ind w:firstLine="720"/>
        <w:jc w:val="both"/>
        <w:rPr>
          <w:rFonts w:eastAsiaTheme="minorHAnsi"/>
          <w:b/>
          <w:sz w:val="24"/>
          <w:szCs w:val="24"/>
          <w:lang w:val="bg-BG" w:eastAsia="en-US"/>
        </w:rPr>
      </w:pPr>
      <w:r w:rsidRPr="005A10AB">
        <w:rPr>
          <w:rFonts w:eastAsiaTheme="minorHAnsi"/>
          <w:sz w:val="24"/>
          <w:szCs w:val="24"/>
          <w:lang w:val="bg-BG" w:eastAsia="en-US"/>
        </w:rPr>
        <w:t>-</w:t>
      </w:r>
      <w:r w:rsidRPr="005A10AB">
        <w:rPr>
          <w:rFonts w:eastAsiaTheme="minorHAnsi"/>
          <w:b/>
          <w:sz w:val="24"/>
          <w:szCs w:val="24"/>
          <w:lang w:val="bg-BG" w:eastAsia="en-US"/>
        </w:rPr>
        <w:t xml:space="preserve"> </w:t>
      </w:r>
      <w:r w:rsidRPr="005A10AB">
        <w:rPr>
          <w:rFonts w:eastAsiaTheme="minorHAnsi"/>
          <w:b/>
          <w:sz w:val="24"/>
          <w:szCs w:val="24"/>
          <w:u w:val="single"/>
          <w:lang w:val="bg-BG" w:eastAsia="en-US"/>
        </w:rPr>
        <w:t>Стъпка 3:</w:t>
      </w:r>
      <w:r w:rsidRPr="005A10AB">
        <w:rPr>
          <w:rFonts w:eastAsiaTheme="minorHAnsi"/>
          <w:b/>
          <w:sz w:val="24"/>
          <w:szCs w:val="24"/>
          <w:lang w:val="bg-BG" w:eastAsia="en-US"/>
        </w:rPr>
        <w:t xml:space="preserve"> Извършване на анализ и избор на децентрализиран или централизиран подход въз основа на четири групи критерии – екологични, икономически, финансови и технически.</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С оглед постигане на надеждна оценка за всеки от критериите, които се оценяват качествено са дадени конкретни насоки за скала за точкуване, като се попълват съответните таблици по Приложение № 2, което е неразделна част от анализа.  </w:t>
      </w:r>
    </w:p>
    <w:p w:rsidR="005A10AB" w:rsidRPr="005A10AB" w:rsidRDefault="005A10AB" w:rsidP="00C5686E">
      <w:pPr>
        <w:ind w:firstLine="708"/>
        <w:jc w:val="both"/>
        <w:rPr>
          <w:rFonts w:eastAsiaTheme="minorHAnsi"/>
          <w:sz w:val="24"/>
          <w:szCs w:val="24"/>
          <w:lang w:val="bg-BG" w:eastAsia="en-US"/>
        </w:rPr>
      </w:pPr>
      <w:r w:rsidRPr="005A10AB">
        <w:rPr>
          <w:rFonts w:eastAsiaTheme="minorHAnsi"/>
          <w:sz w:val="24"/>
          <w:szCs w:val="24"/>
          <w:lang w:val="bg-BG" w:eastAsia="en-US"/>
        </w:rPr>
        <w:t>Въз основа на сравняването на двата подхода по критериите се прави заключение за по-ефективния подход за изграждане на инфраструктура за управление на отпадъците.</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C5686E">
      <w:pPr>
        <w:ind w:firstLine="708"/>
        <w:jc w:val="both"/>
        <w:rPr>
          <w:rFonts w:eastAsiaTheme="minorHAnsi"/>
          <w:sz w:val="24"/>
          <w:szCs w:val="24"/>
          <w:lang w:val="bg-BG" w:eastAsia="en-US"/>
        </w:rPr>
      </w:pPr>
      <w:r w:rsidRPr="005A10AB">
        <w:rPr>
          <w:rFonts w:eastAsiaTheme="minorHAnsi"/>
          <w:sz w:val="24"/>
          <w:szCs w:val="24"/>
          <w:lang w:val="bg-BG" w:eastAsia="en-US"/>
        </w:rPr>
        <w:t>Анализът трябва задължително да съдържа и текстова част със следните задължителни раздели:</w:t>
      </w:r>
    </w:p>
    <w:p w:rsidR="005A10AB" w:rsidRPr="005A10AB" w:rsidRDefault="005A10AB" w:rsidP="005A10AB">
      <w:pPr>
        <w:numPr>
          <w:ilvl w:val="0"/>
          <w:numId w:val="10"/>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Описание на подходите.</w:t>
      </w:r>
    </w:p>
    <w:p w:rsidR="005A10AB" w:rsidRPr="005A10AB" w:rsidRDefault="005A10AB" w:rsidP="005A10AB">
      <w:pPr>
        <w:numPr>
          <w:ilvl w:val="0"/>
          <w:numId w:val="10"/>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Данни и информация, въз основа на които са подготвени;</w:t>
      </w:r>
    </w:p>
    <w:p w:rsidR="005A10AB" w:rsidRPr="005A10AB" w:rsidRDefault="005A10AB" w:rsidP="005A10AB">
      <w:pPr>
        <w:numPr>
          <w:ilvl w:val="0"/>
          <w:numId w:val="10"/>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Резултати от анализ за необходимост от изграждане на допълнителна инфраструктура;</w:t>
      </w:r>
    </w:p>
    <w:p w:rsidR="005A10AB" w:rsidRPr="005A10AB" w:rsidRDefault="005A10AB" w:rsidP="005A10AB">
      <w:pPr>
        <w:numPr>
          <w:ilvl w:val="0"/>
          <w:numId w:val="10"/>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lastRenderedPageBreak/>
        <w:t>Обосновка за предложените местоположения;</w:t>
      </w:r>
    </w:p>
    <w:p w:rsidR="005A10AB" w:rsidRPr="005A10AB" w:rsidRDefault="005A10AB" w:rsidP="005A10AB">
      <w:pPr>
        <w:numPr>
          <w:ilvl w:val="0"/>
          <w:numId w:val="10"/>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 xml:space="preserve">Обосновка за извършените предварителни </w:t>
      </w:r>
      <w:proofErr w:type="spellStart"/>
      <w:r w:rsidRPr="005A10AB">
        <w:rPr>
          <w:rFonts w:eastAsiaTheme="minorHAnsi"/>
          <w:sz w:val="24"/>
          <w:szCs w:val="24"/>
          <w:lang w:val="bg-BG" w:eastAsia="en-US"/>
        </w:rPr>
        <w:t>предпроектни</w:t>
      </w:r>
      <w:proofErr w:type="spellEnd"/>
      <w:r w:rsidRPr="005A10AB">
        <w:rPr>
          <w:rFonts w:eastAsiaTheme="minorHAnsi"/>
          <w:sz w:val="24"/>
          <w:szCs w:val="24"/>
          <w:lang w:val="bg-BG" w:eastAsia="en-US"/>
        </w:rPr>
        <w:t xml:space="preserve"> проучвания;</w:t>
      </w:r>
    </w:p>
    <w:p w:rsidR="005A10AB" w:rsidRPr="005A10AB" w:rsidRDefault="005A10AB" w:rsidP="005A10AB">
      <w:pPr>
        <w:numPr>
          <w:ilvl w:val="0"/>
          <w:numId w:val="10"/>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 xml:space="preserve">Обосновка за оценяването по всеки отделен </w:t>
      </w:r>
      <w:r w:rsidR="007C0882" w:rsidRPr="005A10AB">
        <w:rPr>
          <w:rFonts w:eastAsiaTheme="minorHAnsi"/>
          <w:sz w:val="24"/>
          <w:szCs w:val="24"/>
          <w:lang w:val="bg-BG" w:eastAsia="en-US"/>
        </w:rPr>
        <w:t>критери</w:t>
      </w:r>
      <w:r w:rsidR="007C0882">
        <w:rPr>
          <w:rFonts w:eastAsiaTheme="minorHAnsi"/>
          <w:sz w:val="24"/>
          <w:szCs w:val="24"/>
          <w:lang w:val="bg-BG" w:eastAsia="en-US"/>
        </w:rPr>
        <w:t>й</w:t>
      </w:r>
      <w:r w:rsidR="007C0882" w:rsidRPr="005A10AB">
        <w:rPr>
          <w:rFonts w:eastAsiaTheme="minorHAnsi"/>
          <w:sz w:val="24"/>
          <w:szCs w:val="24"/>
          <w:lang w:val="bg-BG" w:eastAsia="en-US"/>
        </w:rPr>
        <w:t xml:space="preserve"> </w:t>
      </w:r>
      <w:r w:rsidRPr="005A10AB">
        <w:rPr>
          <w:rFonts w:eastAsiaTheme="minorHAnsi"/>
          <w:sz w:val="24"/>
          <w:szCs w:val="24"/>
          <w:lang w:val="bg-BG" w:eastAsia="en-US"/>
        </w:rPr>
        <w:t>за всеки от подходите;</w:t>
      </w:r>
    </w:p>
    <w:p w:rsidR="005A10AB" w:rsidRPr="005A10AB" w:rsidRDefault="005A10AB" w:rsidP="005A10AB">
      <w:pPr>
        <w:numPr>
          <w:ilvl w:val="0"/>
          <w:numId w:val="10"/>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Оценка на риска съгласно матрица, съдържаща се в таблица № 5 на Приложение № 2;</w:t>
      </w:r>
    </w:p>
    <w:p w:rsidR="005A10AB" w:rsidRPr="005A10AB" w:rsidRDefault="005A10AB" w:rsidP="005A10AB">
      <w:pPr>
        <w:numPr>
          <w:ilvl w:val="0"/>
          <w:numId w:val="10"/>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Заключение.</w:t>
      </w:r>
    </w:p>
    <w:p w:rsidR="005A10AB" w:rsidRPr="005A10AB" w:rsidRDefault="005A10AB" w:rsidP="005A10AB">
      <w:pPr>
        <w:numPr>
          <w:ilvl w:val="0"/>
          <w:numId w:val="10"/>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Приложение – таблици с оценяване на подходите по критерии.</w:t>
      </w:r>
    </w:p>
    <w:p w:rsidR="005A10AB" w:rsidRPr="005A10AB" w:rsidRDefault="005A10AB" w:rsidP="00C5686E">
      <w:pPr>
        <w:ind w:firstLine="708"/>
        <w:jc w:val="both"/>
        <w:rPr>
          <w:rFonts w:eastAsiaTheme="minorHAnsi"/>
          <w:sz w:val="24"/>
          <w:szCs w:val="24"/>
          <w:lang w:val="bg-BG" w:eastAsia="en-US"/>
        </w:rPr>
      </w:pPr>
      <w:r w:rsidRPr="005A10AB">
        <w:rPr>
          <w:rFonts w:eastAsiaTheme="minorHAnsi"/>
          <w:sz w:val="24"/>
          <w:szCs w:val="24"/>
          <w:lang w:val="bg-BG" w:eastAsia="en-US"/>
        </w:rPr>
        <w:t xml:space="preserve">Текстовата част трябва да е в обем не повече от 20 страници текст, шрифт </w:t>
      </w:r>
      <w:proofErr w:type="spellStart"/>
      <w:r w:rsidRPr="005A10AB">
        <w:rPr>
          <w:rFonts w:eastAsiaTheme="minorHAnsi"/>
          <w:sz w:val="24"/>
          <w:szCs w:val="24"/>
          <w:lang w:val="bg-BG" w:eastAsia="en-US"/>
        </w:rPr>
        <w:t>Times</w:t>
      </w:r>
      <w:proofErr w:type="spellEnd"/>
      <w:r w:rsidRPr="005A10AB">
        <w:rPr>
          <w:rFonts w:eastAsiaTheme="minorHAnsi"/>
          <w:sz w:val="24"/>
          <w:szCs w:val="24"/>
          <w:lang w:val="bg-BG" w:eastAsia="en-US"/>
        </w:rPr>
        <w:t xml:space="preserve"> New </w:t>
      </w:r>
      <w:proofErr w:type="spellStart"/>
      <w:r w:rsidRPr="005A10AB">
        <w:rPr>
          <w:rFonts w:eastAsiaTheme="minorHAnsi"/>
          <w:sz w:val="24"/>
          <w:szCs w:val="24"/>
          <w:lang w:val="bg-BG" w:eastAsia="en-US"/>
        </w:rPr>
        <w:t>Roman</w:t>
      </w:r>
      <w:proofErr w:type="spellEnd"/>
      <w:r w:rsidRPr="005A10AB">
        <w:rPr>
          <w:rFonts w:eastAsiaTheme="minorHAnsi"/>
          <w:sz w:val="24"/>
          <w:szCs w:val="24"/>
          <w:lang w:val="bg-BG" w:eastAsia="en-US"/>
        </w:rPr>
        <w:t xml:space="preserve">, размер на буквите – 12, разстояние между редовете – 1,5. </w:t>
      </w:r>
    </w:p>
    <w:p w:rsidR="005A10AB" w:rsidRPr="005A10AB" w:rsidRDefault="005A10AB" w:rsidP="00C5686E">
      <w:pPr>
        <w:ind w:firstLine="708"/>
        <w:jc w:val="both"/>
        <w:rPr>
          <w:rFonts w:eastAsiaTheme="minorHAnsi"/>
          <w:sz w:val="24"/>
          <w:szCs w:val="24"/>
          <w:lang w:val="bg-BG" w:eastAsia="en-US"/>
        </w:rPr>
      </w:pPr>
      <w:r w:rsidRPr="005A10AB">
        <w:rPr>
          <w:rFonts w:eastAsiaTheme="minorHAnsi"/>
          <w:sz w:val="24"/>
          <w:szCs w:val="24"/>
          <w:lang w:val="bg-BG" w:eastAsia="en-US"/>
        </w:rPr>
        <w:t>Приложенията следва да са в таблична форма в EXCEL, съответстващи на таблиците по Приложение № 2 на настоящите указания.</w:t>
      </w:r>
    </w:p>
    <w:p w:rsidR="005A10AB" w:rsidRDefault="005A10AB" w:rsidP="005A10AB">
      <w:pPr>
        <w:ind w:firstLine="720"/>
        <w:jc w:val="both"/>
        <w:rPr>
          <w:rFonts w:eastAsiaTheme="minorHAnsi"/>
          <w:b/>
          <w:sz w:val="24"/>
          <w:szCs w:val="24"/>
          <w:lang w:val="bg-BG" w:eastAsia="en-US"/>
        </w:rPr>
      </w:pPr>
    </w:p>
    <w:p w:rsidR="004B2AF2" w:rsidRDefault="004B2AF2" w:rsidP="005A10AB">
      <w:pPr>
        <w:ind w:firstLine="720"/>
        <w:jc w:val="both"/>
        <w:rPr>
          <w:rFonts w:eastAsiaTheme="minorHAnsi"/>
          <w:b/>
          <w:sz w:val="24"/>
          <w:szCs w:val="24"/>
          <w:lang w:val="bg-BG" w:eastAsia="en-US"/>
        </w:rPr>
      </w:pPr>
    </w:p>
    <w:p w:rsidR="004B2AF2" w:rsidRPr="005A10AB" w:rsidRDefault="004B2AF2" w:rsidP="005A10AB">
      <w:pPr>
        <w:ind w:firstLine="720"/>
        <w:jc w:val="both"/>
        <w:rPr>
          <w:rFonts w:eastAsiaTheme="minorHAnsi"/>
          <w:b/>
          <w:sz w:val="24"/>
          <w:szCs w:val="24"/>
          <w:lang w:val="bg-BG" w:eastAsia="en-US"/>
        </w:rPr>
      </w:pPr>
    </w:p>
    <w:p w:rsidR="005A10AB" w:rsidRPr="005A10AB" w:rsidRDefault="005A10AB" w:rsidP="005A10AB">
      <w:pPr>
        <w:ind w:firstLine="720"/>
        <w:jc w:val="both"/>
        <w:rPr>
          <w:rFonts w:eastAsiaTheme="minorHAnsi"/>
          <w:b/>
          <w:sz w:val="24"/>
          <w:szCs w:val="24"/>
          <w:lang w:val="bg-BG" w:eastAsia="en-US"/>
        </w:rPr>
      </w:pPr>
    </w:p>
    <w:p w:rsidR="005A10AB" w:rsidRPr="005A10AB" w:rsidRDefault="005A10AB" w:rsidP="005A10AB">
      <w:pPr>
        <w:spacing w:after="200" w:line="276" w:lineRule="auto"/>
        <w:jc w:val="both"/>
        <w:rPr>
          <w:rFonts w:eastAsiaTheme="minorHAnsi"/>
          <w:b/>
          <w:color w:val="00B0F0"/>
          <w:sz w:val="24"/>
          <w:szCs w:val="24"/>
          <w:lang w:val="bg-BG" w:eastAsia="en-US"/>
        </w:rPr>
      </w:pPr>
      <w:r w:rsidRPr="005A10AB">
        <w:rPr>
          <w:rFonts w:eastAsiaTheme="minorHAnsi"/>
          <w:b/>
          <w:color w:val="00B0F0"/>
          <w:sz w:val="24"/>
          <w:szCs w:val="24"/>
          <w:lang w:val="bg-BG" w:eastAsia="en-US"/>
        </w:rPr>
        <w:t>КРИТЕРИИ И МЕТОДОЛОГИЯ ЗА ИЗВЪРШВАНЕ НА АНАЛИЗ И ИЗБОР НА ДЕЦЕНТРАЛИЗИРАН ИЛИ ЦЕНТРАЛИЗИРАН ПОДХОД</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Всички групи критерии и </w:t>
      </w:r>
      <w:proofErr w:type="spellStart"/>
      <w:r w:rsidRPr="005A10AB">
        <w:rPr>
          <w:rFonts w:eastAsiaTheme="minorHAnsi"/>
          <w:sz w:val="24"/>
          <w:szCs w:val="24"/>
          <w:lang w:val="bg-BG" w:eastAsia="en-US"/>
        </w:rPr>
        <w:t>подкритерии</w:t>
      </w:r>
      <w:proofErr w:type="spellEnd"/>
      <w:r w:rsidRPr="005A10AB">
        <w:rPr>
          <w:rFonts w:eastAsiaTheme="minorHAnsi"/>
          <w:sz w:val="24"/>
          <w:szCs w:val="24"/>
          <w:lang w:val="bg-BG" w:eastAsia="en-US"/>
        </w:rPr>
        <w:t xml:space="preserve"> се предвижда да бъдат оценявани качествено.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За някои от критериите за извършването на качествената оценка преди това трябва да има количествено остойностяване. За тези критерии са предложени примерни </w:t>
      </w:r>
      <w:proofErr w:type="spellStart"/>
      <w:r w:rsidRPr="005A10AB">
        <w:rPr>
          <w:rFonts w:eastAsiaTheme="minorHAnsi"/>
          <w:sz w:val="24"/>
          <w:szCs w:val="24"/>
          <w:lang w:val="bg-BG" w:eastAsia="en-US"/>
        </w:rPr>
        <w:t>окрупнени</w:t>
      </w:r>
      <w:proofErr w:type="spellEnd"/>
      <w:r w:rsidRPr="005A10AB">
        <w:rPr>
          <w:rFonts w:eastAsiaTheme="minorHAnsi"/>
          <w:sz w:val="24"/>
          <w:szCs w:val="24"/>
          <w:lang w:val="bg-BG" w:eastAsia="en-US"/>
        </w:rPr>
        <w:t xml:space="preserve"> показатели/стойности, съдържащи се в Приложение № 2 към указанията.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Всеки един от критериите се остойностява и се поставят определен брой точки, като спрямо конкретния подход (централизиран или децентрализиран) се преценява случай по случай коя от изброените възможности е приложима.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b/>
          <w:i/>
          <w:color w:val="00B050"/>
          <w:sz w:val="24"/>
          <w:szCs w:val="24"/>
          <w:lang w:val="bg-BG" w:eastAsia="en-US"/>
        </w:rPr>
      </w:pPr>
      <w:r w:rsidRPr="005A10AB">
        <w:rPr>
          <w:rFonts w:eastAsiaTheme="minorHAnsi"/>
          <w:b/>
          <w:i/>
          <w:color w:val="00B050"/>
          <w:sz w:val="24"/>
          <w:szCs w:val="24"/>
          <w:lang w:val="bg-BG" w:eastAsia="en-US"/>
        </w:rPr>
        <w:t>А. Екологични критерии</w:t>
      </w:r>
    </w:p>
    <w:p w:rsidR="005A10AB" w:rsidRPr="005A10AB" w:rsidRDefault="005A10AB" w:rsidP="005A10AB">
      <w:pPr>
        <w:jc w:val="both"/>
        <w:rPr>
          <w:rFonts w:eastAsiaTheme="minorHAnsi"/>
          <w:color w:val="FF0000"/>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b/>
          <w:i/>
          <w:sz w:val="24"/>
          <w:szCs w:val="24"/>
          <w:lang w:val="bg-BG" w:eastAsia="en-US"/>
        </w:rPr>
        <w:t>1. Местоположение на потенциални площадки за допълнителна инфраструктура</w:t>
      </w:r>
      <w:r w:rsidRPr="005A10AB">
        <w:rPr>
          <w:rFonts w:eastAsiaTheme="minorHAnsi"/>
          <w:sz w:val="24"/>
          <w:szCs w:val="24"/>
          <w:lang w:val="bg-BG" w:eastAsia="en-US"/>
        </w:rPr>
        <w:t>:</w:t>
      </w:r>
      <w:r w:rsidRPr="005A10AB">
        <w:rPr>
          <w:rFonts w:eastAsiaTheme="minorHAnsi"/>
          <w:sz w:val="24"/>
          <w:szCs w:val="24"/>
          <w:lang w:val="bg-BG" w:eastAsia="en-US"/>
        </w:rPr>
        <w:tab/>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b/>
          <w:i/>
          <w:sz w:val="24"/>
          <w:szCs w:val="24"/>
          <w:lang w:val="bg-BG" w:eastAsia="en-US"/>
        </w:rPr>
        <w:t>1.</w:t>
      </w:r>
      <w:proofErr w:type="spellStart"/>
      <w:r w:rsidRPr="005A10AB">
        <w:rPr>
          <w:rFonts w:eastAsiaTheme="minorHAnsi"/>
          <w:b/>
          <w:i/>
          <w:sz w:val="24"/>
          <w:szCs w:val="24"/>
          <w:lang w:val="bg-BG" w:eastAsia="en-US"/>
        </w:rPr>
        <w:t>1</w:t>
      </w:r>
      <w:proofErr w:type="spellEnd"/>
      <w:r w:rsidRPr="005A10AB">
        <w:rPr>
          <w:rFonts w:eastAsiaTheme="minorHAnsi"/>
          <w:b/>
          <w:i/>
          <w:sz w:val="24"/>
          <w:szCs w:val="24"/>
          <w:lang w:val="bg-BG" w:eastAsia="en-US"/>
        </w:rPr>
        <w:t>.</w:t>
      </w:r>
      <w:r w:rsidRPr="005A10AB">
        <w:rPr>
          <w:rFonts w:eastAsiaTheme="minorHAnsi"/>
          <w:sz w:val="24"/>
          <w:szCs w:val="24"/>
          <w:lang w:val="bg-BG" w:eastAsia="en-US"/>
        </w:rPr>
        <w:t xml:space="preserve"> </w:t>
      </w:r>
      <w:r w:rsidRPr="005A10AB">
        <w:rPr>
          <w:rFonts w:eastAsiaTheme="minorHAnsi"/>
          <w:b/>
          <w:i/>
          <w:sz w:val="24"/>
          <w:szCs w:val="24"/>
          <w:lang w:val="bg-BG" w:eastAsia="en-US"/>
        </w:rPr>
        <w:t>Спрямо граници на защитени територии</w:t>
      </w:r>
      <w:r w:rsidRPr="005A10AB">
        <w:rPr>
          <w:rFonts w:eastAsiaTheme="minorHAnsi"/>
          <w:sz w:val="24"/>
          <w:szCs w:val="24"/>
          <w:lang w:val="bg-BG" w:eastAsia="en-US"/>
        </w:rPr>
        <w:tab/>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Точки се присъждат само за площадки, които са разположени извън граници на защитени територии по смисъла на Закона за защитените територии.</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Информация за защитените територии може да бъде взета от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Регистър на защитените територии (</w:t>
      </w:r>
      <w:hyperlink r:id="rId10" w:history="1">
        <w:r w:rsidRPr="005A10AB">
          <w:rPr>
            <w:rFonts w:eastAsiaTheme="minorHAnsi"/>
            <w:color w:val="0000FF" w:themeColor="hyperlink"/>
            <w:sz w:val="24"/>
            <w:szCs w:val="24"/>
            <w:u w:val="single"/>
            <w:lang w:val="bg-BG" w:eastAsia="en-US"/>
          </w:rPr>
          <w:t>http://eea.government.bg/zpo/bg</w:t>
        </w:r>
      </w:hyperlink>
      <w:r w:rsidRPr="005A10AB">
        <w:rPr>
          <w:rFonts w:eastAsiaTheme="minorHAnsi"/>
          <w:sz w:val="24"/>
          <w:szCs w:val="24"/>
          <w:lang w:val="bg-BG" w:eastAsia="en-US"/>
        </w:rPr>
        <w:t>);</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Налични данни в общините.</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Препоръчва се да се извърши проверка за местоположението на площадките спрямо граници на защитените територии от съответната Регионална инспекция по околна среда и води (РИОСВ), като се предоставят номерата на имотите. </w:t>
      </w:r>
    </w:p>
    <w:p w:rsidR="005A10AB" w:rsidRPr="005A10AB" w:rsidRDefault="005A10AB" w:rsidP="005A10AB">
      <w:pPr>
        <w:ind w:firstLine="720"/>
        <w:jc w:val="both"/>
        <w:rPr>
          <w:rFonts w:eastAsiaTheme="minorHAnsi"/>
          <w:sz w:val="24"/>
          <w:szCs w:val="24"/>
          <w:lang w:val="bg-BG" w:eastAsia="en-US"/>
        </w:rPr>
      </w:pPr>
      <w:r w:rsidRPr="005A10AB">
        <w:rPr>
          <w:rFonts w:eastAsiaTheme="minorHAnsi"/>
          <w:sz w:val="24"/>
          <w:szCs w:val="24"/>
          <w:lang w:val="bg-BG" w:eastAsia="en-US"/>
        </w:rPr>
        <w:t xml:space="preserve">                                </w:t>
      </w:r>
    </w:p>
    <w:p w:rsidR="005A10AB" w:rsidRPr="005A10AB" w:rsidRDefault="005A10AB" w:rsidP="005A10AB">
      <w:pPr>
        <w:jc w:val="both"/>
        <w:rPr>
          <w:rFonts w:eastAsiaTheme="minorHAnsi"/>
          <w:sz w:val="24"/>
          <w:szCs w:val="24"/>
          <w:lang w:val="bg-BG" w:eastAsia="en-US"/>
        </w:rPr>
      </w:pPr>
      <w:r w:rsidRPr="005A10AB">
        <w:rPr>
          <w:rFonts w:eastAsiaTheme="minorHAnsi"/>
          <w:b/>
          <w:i/>
          <w:sz w:val="24"/>
          <w:szCs w:val="24"/>
          <w:lang w:val="bg-BG" w:eastAsia="en-US"/>
        </w:rPr>
        <w:t>1.2.</w:t>
      </w:r>
      <w:r w:rsidRPr="005A10AB">
        <w:rPr>
          <w:rFonts w:eastAsiaTheme="minorHAnsi"/>
          <w:i/>
          <w:sz w:val="24"/>
          <w:szCs w:val="24"/>
          <w:lang w:val="bg-BG" w:eastAsia="en-US"/>
        </w:rPr>
        <w:t xml:space="preserve"> </w:t>
      </w:r>
      <w:r w:rsidRPr="005A10AB">
        <w:rPr>
          <w:rFonts w:eastAsiaTheme="minorHAnsi"/>
          <w:b/>
          <w:i/>
          <w:sz w:val="24"/>
          <w:szCs w:val="24"/>
          <w:lang w:val="bg-BG" w:eastAsia="en-US"/>
        </w:rPr>
        <w:t>Спрямо граници на защитени зони от мрежата Натура 2000</w:t>
      </w:r>
      <w:r w:rsidRPr="005A10AB">
        <w:rPr>
          <w:rFonts w:eastAsiaTheme="minorHAnsi"/>
          <w:sz w:val="24"/>
          <w:szCs w:val="24"/>
          <w:lang w:val="bg-BG" w:eastAsia="en-US"/>
        </w:rPr>
        <w:tab/>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Точки се присъждат само за площадки, които са разположени извън граници на защитени зони по смисъла на Закона за биологичното разнообразие.</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Информация за защитените зони може да бъде взета от:</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Информационната система за защитените зони от екологична мрежа Натура 2000 (</w:t>
      </w:r>
      <w:hyperlink r:id="rId11" w:history="1">
        <w:r w:rsidRPr="005A10AB">
          <w:rPr>
            <w:rFonts w:eastAsiaTheme="minorHAnsi"/>
            <w:color w:val="0000FF" w:themeColor="hyperlink"/>
            <w:sz w:val="24"/>
            <w:szCs w:val="24"/>
            <w:u w:val="single"/>
            <w:lang w:val="bg-BG" w:eastAsia="en-US"/>
          </w:rPr>
          <w:t>http://natura2000.moew.government.bg</w:t>
        </w:r>
      </w:hyperlink>
      <w:r w:rsidRPr="005A10AB">
        <w:rPr>
          <w:rFonts w:eastAsiaTheme="minorHAnsi"/>
          <w:sz w:val="24"/>
          <w:szCs w:val="24"/>
          <w:lang w:val="bg-BG" w:eastAsia="en-US"/>
        </w:rPr>
        <w:t>);</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Налични данни в общините.</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Препоръчва се да се извърши проверка за местоположението на площадките спрямо граници на защитените зони от съответната РИОСВ, като се предоставят номерата на имотите.</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b/>
          <w:i/>
          <w:sz w:val="24"/>
          <w:szCs w:val="24"/>
          <w:lang w:val="bg-BG" w:eastAsia="en-US"/>
        </w:rPr>
        <w:t>1.3.</w:t>
      </w:r>
      <w:r w:rsidRPr="005A10AB">
        <w:rPr>
          <w:rFonts w:eastAsiaTheme="minorHAnsi"/>
          <w:i/>
          <w:sz w:val="24"/>
          <w:szCs w:val="24"/>
          <w:lang w:val="bg-BG" w:eastAsia="en-US"/>
        </w:rPr>
        <w:t xml:space="preserve"> </w:t>
      </w:r>
      <w:r w:rsidRPr="005A10AB">
        <w:rPr>
          <w:rFonts w:eastAsiaTheme="minorHAnsi"/>
          <w:b/>
          <w:i/>
          <w:sz w:val="24"/>
          <w:szCs w:val="24"/>
          <w:lang w:val="bg-BG" w:eastAsia="en-US"/>
        </w:rPr>
        <w:t>Спрямо райони със значителен потенциален риск от наводнения</w:t>
      </w:r>
      <w:r w:rsidRPr="005A10AB">
        <w:rPr>
          <w:rFonts w:eastAsiaTheme="minorHAnsi"/>
          <w:sz w:val="24"/>
          <w:szCs w:val="24"/>
          <w:lang w:val="bg-BG" w:eastAsia="en-US"/>
        </w:rPr>
        <w:tab/>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Точки се присъждат само за площадки, които са разположени извън район със значителен потенциален риск от наводнения.</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Информация за районите със значителен потенциален риск от наводнения може да бъде осигурена от:</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 Интернет страниците на съответните </w:t>
      </w:r>
      <w:proofErr w:type="spellStart"/>
      <w:r w:rsidRPr="005A10AB">
        <w:rPr>
          <w:rFonts w:eastAsiaTheme="minorHAnsi"/>
          <w:sz w:val="24"/>
          <w:szCs w:val="24"/>
          <w:lang w:val="bg-BG" w:eastAsia="en-US"/>
        </w:rPr>
        <w:t>Басейнови</w:t>
      </w:r>
      <w:proofErr w:type="spellEnd"/>
      <w:r w:rsidRPr="005A10AB">
        <w:rPr>
          <w:rFonts w:eastAsiaTheme="minorHAnsi"/>
          <w:sz w:val="24"/>
          <w:szCs w:val="24"/>
          <w:lang w:val="bg-BG" w:eastAsia="en-US"/>
        </w:rPr>
        <w:t xml:space="preserve"> дирекции по управление на водите (БДУВ);</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 Налични данни в общините.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Препоръчва се да се извърши проверка за местоположението на площадките спрямо район със значителен потенциален риск от наводнения от съответната БДУВ.</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b/>
          <w:i/>
          <w:sz w:val="24"/>
          <w:szCs w:val="24"/>
          <w:lang w:val="bg-BG" w:eastAsia="en-US"/>
        </w:rPr>
        <w:t>1.4.</w:t>
      </w:r>
      <w:r w:rsidRPr="005A10AB">
        <w:rPr>
          <w:rFonts w:eastAsiaTheme="minorHAnsi"/>
          <w:sz w:val="24"/>
          <w:szCs w:val="24"/>
          <w:lang w:val="bg-BG" w:eastAsia="en-US"/>
        </w:rPr>
        <w:t xml:space="preserve"> </w:t>
      </w:r>
      <w:r w:rsidRPr="005A10AB">
        <w:rPr>
          <w:rFonts w:eastAsiaTheme="minorHAnsi"/>
          <w:b/>
          <w:i/>
          <w:sz w:val="24"/>
          <w:szCs w:val="24"/>
          <w:lang w:val="bg-BG" w:eastAsia="en-US"/>
        </w:rPr>
        <w:t xml:space="preserve">Спрямо водоизточници и съоръжения за питейно-битово водоснабдяване и на </w:t>
      </w:r>
      <w:proofErr w:type="spellStart"/>
      <w:r w:rsidRPr="005A10AB">
        <w:rPr>
          <w:rFonts w:eastAsiaTheme="minorHAnsi"/>
          <w:b/>
          <w:i/>
          <w:sz w:val="24"/>
          <w:szCs w:val="24"/>
          <w:lang w:val="bg-BG" w:eastAsia="en-US"/>
        </w:rPr>
        <w:t>водовземни</w:t>
      </w:r>
      <w:proofErr w:type="spellEnd"/>
      <w:r w:rsidRPr="005A10AB">
        <w:rPr>
          <w:rFonts w:eastAsiaTheme="minorHAnsi"/>
          <w:b/>
          <w:i/>
          <w:sz w:val="24"/>
          <w:szCs w:val="24"/>
          <w:lang w:val="bg-BG" w:eastAsia="en-US"/>
        </w:rPr>
        <w:t xml:space="preserve"> съоръжения за минерални води</w:t>
      </w:r>
      <w:r w:rsidRPr="005A10AB">
        <w:rPr>
          <w:rFonts w:eastAsiaTheme="minorHAnsi"/>
          <w:sz w:val="24"/>
          <w:szCs w:val="24"/>
          <w:lang w:val="bg-BG" w:eastAsia="en-US"/>
        </w:rPr>
        <w:tab/>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Точки се присъждат само за площадки, които </w:t>
      </w:r>
      <w:proofErr w:type="spellStart"/>
      <w:r w:rsidR="00183361" w:rsidRPr="00183361">
        <w:rPr>
          <w:rFonts w:eastAsiaTheme="minorHAnsi"/>
          <w:sz w:val="24"/>
          <w:szCs w:val="24"/>
          <w:lang w:val="bg-BG" w:eastAsia="en-US"/>
        </w:rPr>
        <w:t>които</w:t>
      </w:r>
      <w:proofErr w:type="spellEnd"/>
      <w:r w:rsidR="00183361" w:rsidRPr="00183361">
        <w:rPr>
          <w:rFonts w:eastAsiaTheme="minorHAnsi"/>
          <w:sz w:val="24"/>
          <w:szCs w:val="24"/>
          <w:lang w:val="bg-BG" w:eastAsia="en-US"/>
        </w:rPr>
        <w:t xml:space="preserve"> не са в нарушение на разпоредбите  на </w:t>
      </w:r>
      <w:r w:rsidR="00183361" w:rsidRPr="00521929">
        <w:rPr>
          <w:rFonts w:eastAsiaTheme="minorHAnsi"/>
          <w:i/>
          <w:sz w:val="24"/>
          <w:szCs w:val="24"/>
          <w:lang w:val="bg-BG" w:eastAsia="en-US"/>
        </w:rPr>
        <w:t>Наредба № 3 от 16 октомври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00183361" w:rsidRPr="00183361">
        <w:rPr>
          <w:rFonts w:eastAsiaTheme="minorHAnsi"/>
          <w:sz w:val="24"/>
          <w:szCs w:val="24"/>
          <w:lang w:val="bg-BG" w:eastAsia="en-US"/>
        </w:rPr>
        <w:t xml:space="preserve"> </w:t>
      </w:r>
      <w:r w:rsidRPr="005A10AB">
        <w:rPr>
          <w:rFonts w:eastAsiaTheme="minorHAnsi"/>
          <w:sz w:val="24"/>
          <w:szCs w:val="24"/>
          <w:lang w:val="bg-BG" w:eastAsia="en-US"/>
        </w:rPr>
        <w:t xml:space="preserve">.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Информация за местоположение на водоизточници и съоръжения за питейно-битово водоснабдяване и на </w:t>
      </w:r>
      <w:proofErr w:type="spellStart"/>
      <w:r w:rsidRPr="005A10AB">
        <w:rPr>
          <w:rFonts w:eastAsiaTheme="minorHAnsi"/>
          <w:sz w:val="24"/>
          <w:szCs w:val="24"/>
          <w:lang w:val="bg-BG" w:eastAsia="en-US"/>
        </w:rPr>
        <w:t>водовземни</w:t>
      </w:r>
      <w:proofErr w:type="spellEnd"/>
      <w:r w:rsidRPr="005A10AB">
        <w:rPr>
          <w:rFonts w:eastAsiaTheme="minorHAnsi"/>
          <w:sz w:val="24"/>
          <w:szCs w:val="24"/>
          <w:lang w:val="bg-BG" w:eastAsia="en-US"/>
        </w:rPr>
        <w:t xml:space="preserve"> съоръжения за минерални води може да бъде осигурена от:</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искане на справка от съответната БДУВ;</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 искане на справка от съответното </w:t>
      </w:r>
      <w:proofErr w:type="spellStart"/>
      <w:r w:rsidRPr="005A10AB">
        <w:rPr>
          <w:rFonts w:eastAsiaTheme="minorHAnsi"/>
          <w:sz w:val="24"/>
          <w:szCs w:val="24"/>
          <w:lang w:val="bg-BG" w:eastAsia="en-US"/>
        </w:rPr>
        <w:t>ВиК</w:t>
      </w:r>
      <w:proofErr w:type="spellEnd"/>
      <w:r w:rsidRPr="005A10AB">
        <w:rPr>
          <w:rFonts w:eastAsiaTheme="minorHAnsi"/>
          <w:sz w:val="24"/>
          <w:szCs w:val="24"/>
          <w:lang w:val="bg-BG" w:eastAsia="en-US"/>
        </w:rPr>
        <w:t xml:space="preserve"> дружество;</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 </w:t>
      </w:r>
      <w:r w:rsidR="004F2E97">
        <w:rPr>
          <w:rFonts w:eastAsiaTheme="minorHAnsi"/>
          <w:sz w:val="24"/>
          <w:szCs w:val="24"/>
          <w:lang w:val="bg-BG" w:eastAsia="en-US"/>
        </w:rPr>
        <w:t>н</w:t>
      </w:r>
      <w:r w:rsidRPr="005A10AB">
        <w:rPr>
          <w:rFonts w:eastAsiaTheme="minorHAnsi"/>
          <w:sz w:val="24"/>
          <w:szCs w:val="24"/>
          <w:lang w:val="bg-BG" w:eastAsia="en-US"/>
        </w:rPr>
        <w:t xml:space="preserve">алични данни в общините.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b/>
          <w:i/>
          <w:sz w:val="24"/>
          <w:szCs w:val="24"/>
          <w:lang w:val="bg-BG" w:eastAsia="en-US"/>
        </w:rPr>
        <w:t>1.5.</w:t>
      </w:r>
      <w:r w:rsidRPr="005A10AB">
        <w:rPr>
          <w:rFonts w:eastAsiaTheme="minorHAnsi"/>
          <w:sz w:val="24"/>
          <w:szCs w:val="24"/>
          <w:lang w:val="bg-BG" w:eastAsia="en-US"/>
        </w:rPr>
        <w:t xml:space="preserve"> </w:t>
      </w:r>
      <w:r w:rsidRPr="005A10AB">
        <w:rPr>
          <w:rFonts w:eastAsiaTheme="minorHAnsi"/>
          <w:b/>
          <w:i/>
          <w:sz w:val="24"/>
          <w:szCs w:val="24"/>
          <w:lang w:val="bg-BG" w:eastAsia="en-US"/>
        </w:rPr>
        <w:t xml:space="preserve">Спрямо регистрирани </w:t>
      </w:r>
      <w:proofErr w:type="spellStart"/>
      <w:r w:rsidRPr="005A10AB">
        <w:rPr>
          <w:rFonts w:eastAsiaTheme="minorHAnsi"/>
          <w:b/>
          <w:i/>
          <w:sz w:val="24"/>
          <w:szCs w:val="24"/>
          <w:lang w:val="bg-BG" w:eastAsia="en-US"/>
        </w:rPr>
        <w:t>свлачища</w:t>
      </w:r>
      <w:proofErr w:type="spellEnd"/>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Точки се присъждат само за площадки, които не попадат в район с регистрирани </w:t>
      </w:r>
      <w:proofErr w:type="spellStart"/>
      <w:r w:rsidRPr="005A10AB">
        <w:rPr>
          <w:rFonts w:eastAsiaTheme="minorHAnsi"/>
          <w:color w:val="000000" w:themeColor="text1"/>
          <w:sz w:val="24"/>
          <w:szCs w:val="24"/>
          <w:lang w:val="bg-BG" w:eastAsia="en-US"/>
        </w:rPr>
        <w:t>свлачища</w:t>
      </w:r>
      <w:proofErr w:type="spellEnd"/>
      <w:r w:rsidRPr="005A10AB">
        <w:rPr>
          <w:rFonts w:eastAsiaTheme="minorHAnsi"/>
          <w:color w:val="000000" w:themeColor="text1"/>
          <w:sz w:val="24"/>
          <w:szCs w:val="24"/>
          <w:lang w:val="bg-BG" w:eastAsia="en-US"/>
        </w:rPr>
        <w:t>.</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Информация за районите с регистрирани </w:t>
      </w:r>
      <w:proofErr w:type="spellStart"/>
      <w:r w:rsidRPr="005A10AB">
        <w:rPr>
          <w:rFonts w:eastAsiaTheme="minorHAnsi"/>
          <w:color w:val="000000" w:themeColor="text1"/>
          <w:sz w:val="24"/>
          <w:szCs w:val="24"/>
          <w:lang w:val="bg-BG" w:eastAsia="en-US"/>
        </w:rPr>
        <w:t>свлачища</w:t>
      </w:r>
      <w:proofErr w:type="spellEnd"/>
      <w:r w:rsidRPr="005A10AB">
        <w:rPr>
          <w:rFonts w:eastAsiaTheme="minorHAnsi"/>
          <w:color w:val="000000" w:themeColor="text1"/>
          <w:sz w:val="24"/>
          <w:szCs w:val="24"/>
          <w:lang w:val="bg-BG" w:eastAsia="en-US"/>
        </w:rPr>
        <w:t xml:space="preserve"> може да бъде осигурена от:</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 Регистър на </w:t>
      </w:r>
      <w:proofErr w:type="spellStart"/>
      <w:r w:rsidRPr="005A10AB">
        <w:rPr>
          <w:rFonts w:eastAsiaTheme="minorHAnsi"/>
          <w:color w:val="000000" w:themeColor="text1"/>
          <w:sz w:val="24"/>
          <w:szCs w:val="24"/>
          <w:lang w:val="bg-BG" w:eastAsia="en-US"/>
        </w:rPr>
        <w:t>свлачищата</w:t>
      </w:r>
      <w:proofErr w:type="spellEnd"/>
      <w:r w:rsidRPr="005A10AB">
        <w:rPr>
          <w:rFonts w:eastAsiaTheme="minorHAnsi"/>
          <w:color w:val="000000" w:themeColor="text1"/>
          <w:sz w:val="24"/>
          <w:szCs w:val="24"/>
          <w:lang w:val="bg-BG" w:eastAsia="en-US"/>
        </w:rPr>
        <w:t xml:space="preserve"> (http://geozashtita.bg);</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Налични данни в общините.</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i/>
          <w:sz w:val="24"/>
          <w:szCs w:val="24"/>
          <w:lang w:val="bg-BG" w:eastAsia="en-US"/>
        </w:rPr>
      </w:pPr>
      <w:r w:rsidRPr="005A10AB">
        <w:rPr>
          <w:rFonts w:eastAsiaTheme="minorHAnsi"/>
          <w:b/>
          <w:i/>
          <w:sz w:val="24"/>
          <w:szCs w:val="24"/>
          <w:lang w:val="bg-BG" w:eastAsia="en-US"/>
        </w:rPr>
        <w:t>1.6. Спрямо обекти, подлежащи на здравна защита</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Точки се присъждат само за площадки, които не са разположени в </w:t>
      </w:r>
      <w:proofErr w:type="spellStart"/>
      <w:r w:rsidRPr="005A10AB">
        <w:rPr>
          <w:rFonts w:eastAsiaTheme="minorHAnsi"/>
          <w:sz w:val="24"/>
          <w:szCs w:val="24"/>
          <w:lang w:val="bg-BG" w:eastAsia="en-US"/>
        </w:rPr>
        <w:t>подветрената</w:t>
      </w:r>
      <w:proofErr w:type="spellEnd"/>
      <w:r w:rsidRPr="005A10AB">
        <w:rPr>
          <w:rFonts w:eastAsiaTheme="minorHAnsi"/>
          <w:sz w:val="24"/>
          <w:szCs w:val="24"/>
          <w:lang w:val="bg-BG" w:eastAsia="en-US"/>
        </w:rPr>
        <w:t xml:space="preserve"> страна и/или е на разстояние по-малко от 100 м спрямо обекти на здравна защита.</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w:t>
      </w:r>
      <w:r w:rsidRPr="005A10AB">
        <w:rPr>
          <w:rFonts w:eastAsiaTheme="minorHAnsi"/>
          <w:b/>
          <w:sz w:val="24"/>
          <w:szCs w:val="24"/>
          <w:lang w:val="bg-BG" w:eastAsia="en-US"/>
        </w:rPr>
        <w:t>Обект, подлежащ на здравна защита</w:t>
      </w:r>
      <w:r w:rsidRPr="005A10AB">
        <w:rPr>
          <w:rFonts w:eastAsiaTheme="minorHAnsi"/>
          <w:sz w:val="24"/>
          <w:szCs w:val="24"/>
          <w:lang w:val="bg-BG" w:eastAsia="en-US"/>
        </w:rPr>
        <w:t xml:space="preserve">“ са тези, определени в т. 3 на § 1. от Допълнителните разпоредби на </w:t>
      </w:r>
      <w:r w:rsidRPr="005A10AB">
        <w:rPr>
          <w:rFonts w:eastAsiaTheme="minorHAnsi"/>
          <w:i/>
          <w:sz w:val="24"/>
          <w:szCs w:val="24"/>
          <w:lang w:val="bg-BG" w:eastAsia="en-US"/>
        </w:rPr>
        <w:t xml:space="preserve">Наредбата за условията и реда за извършване на оценка на въздействието върху околната среда, </w:t>
      </w:r>
      <w:r w:rsidRPr="005A10AB">
        <w:rPr>
          <w:rFonts w:eastAsiaTheme="minorHAnsi"/>
          <w:sz w:val="24"/>
          <w:szCs w:val="24"/>
          <w:lang w:val="bg-BG" w:eastAsia="en-US"/>
        </w:rPr>
        <w:t>а именно „</w:t>
      </w:r>
      <w:r w:rsidRPr="005A10AB">
        <w:rPr>
          <w:rFonts w:eastAsiaTheme="minorHAnsi"/>
          <w:i/>
          <w:sz w:val="24"/>
          <w:szCs w:val="24"/>
          <w:lang w:val="bg-BG" w:eastAsia="en-US"/>
        </w:rPr>
        <w:t xml:space="preserve">жилищни сгради, лечебните заведения, училищата, детските градини и ясли, висшите учебни заведения, спортните обекти, обектите за временно настаняване (хотели, </w:t>
      </w:r>
      <w:proofErr w:type="spellStart"/>
      <w:r w:rsidRPr="005A10AB">
        <w:rPr>
          <w:rFonts w:eastAsiaTheme="minorHAnsi"/>
          <w:i/>
          <w:sz w:val="24"/>
          <w:szCs w:val="24"/>
          <w:lang w:val="bg-BG" w:eastAsia="en-US"/>
        </w:rPr>
        <w:t>мотели</w:t>
      </w:r>
      <w:proofErr w:type="spellEnd"/>
      <w:r w:rsidRPr="005A10AB">
        <w:rPr>
          <w:rFonts w:eastAsiaTheme="minorHAnsi"/>
          <w:i/>
          <w:sz w:val="24"/>
          <w:szCs w:val="24"/>
          <w:lang w:val="bg-BG" w:eastAsia="en-US"/>
        </w:rPr>
        <w:t xml:space="preserve">, общежития, почивни домове, ваканционни селища, къмпинги, хижи и др.), места за отдих и развлечения (плувни басейни, плажове и места за къпане, паркове и градини за отдих, вилни зони, </w:t>
      </w:r>
      <w:proofErr w:type="spellStart"/>
      <w:r w:rsidRPr="005A10AB">
        <w:rPr>
          <w:rFonts w:eastAsiaTheme="minorHAnsi"/>
          <w:i/>
          <w:sz w:val="24"/>
          <w:szCs w:val="24"/>
          <w:lang w:val="bg-BG" w:eastAsia="en-US"/>
        </w:rPr>
        <w:t>атракционни</w:t>
      </w:r>
      <w:proofErr w:type="spellEnd"/>
      <w:r w:rsidRPr="005A10AB">
        <w:rPr>
          <w:rFonts w:eastAsiaTheme="minorHAnsi"/>
          <w:i/>
          <w:sz w:val="24"/>
          <w:szCs w:val="24"/>
          <w:lang w:val="bg-BG" w:eastAsia="en-US"/>
        </w:rPr>
        <w:t xml:space="preserve"> паркове, </w:t>
      </w:r>
      <w:proofErr w:type="spellStart"/>
      <w:r w:rsidRPr="005A10AB">
        <w:rPr>
          <w:rFonts w:eastAsiaTheme="minorHAnsi"/>
          <w:i/>
          <w:sz w:val="24"/>
          <w:szCs w:val="24"/>
          <w:lang w:val="bg-BG" w:eastAsia="en-US"/>
        </w:rPr>
        <w:t>аквапаркове</w:t>
      </w:r>
      <w:proofErr w:type="spellEnd"/>
      <w:r w:rsidRPr="005A10AB">
        <w:rPr>
          <w:rFonts w:eastAsiaTheme="minorHAnsi"/>
          <w:i/>
          <w:sz w:val="24"/>
          <w:szCs w:val="24"/>
          <w:lang w:val="bg-BG" w:eastAsia="en-US"/>
        </w:rPr>
        <w:t xml:space="preserve"> и др.), както и обектите за производство на храни по § 1, т. 37 от допълнителните разпоредби на Закона за храните, стоковите борси и тържищата за храни“</w:t>
      </w:r>
      <w:r w:rsidRPr="005A10AB">
        <w:rPr>
          <w:rFonts w:eastAsiaTheme="minorHAnsi"/>
          <w:sz w:val="24"/>
          <w:szCs w:val="24"/>
          <w:lang w:val="bg-BG" w:eastAsia="en-US"/>
        </w:rPr>
        <w:t>.</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Информацията за обектите, подлежащи на здравна защита следва да бъде съгласно  влезли в сила </w:t>
      </w:r>
      <w:proofErr w:type="spellStart"/>
      <w:r w:rsidRPr="005A10AB">
        <w:rPr>
          <w:rFonts w:eastAsiaTheme="minorHAnsi"/>
          <w:sz w:val="24"/>
          <w:szCs w:val="24"/>
          <w:lang w:val="bg-BG" w:eastAsia="en-US"/>
        </w:rPr>
        <w:t>устройствени</w:t>
      </w:r>
      <w:proofErr w:type="spellEnd"/>
      <w:r w:rsidRPr="005A10AB">
        <w:rPr>
          <w:rFonts w:eastAsiaTheme="minorHAnsi"/>
          <w:sz w:val="24"/>
          <w:szCs w:val="24"/>
          <w:lang w:val="bg-BG" w:eastAsia="en-US"/>
        </w:rPr>
        <w:t xml:space="preserve"> планове, налични данни в общините за изградени и в процес на изграждане законосъобразно обекти.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b/>
          <w:sz w:val="24"/>
          <w:szCs w:val="24"/>
          <w:lang w:val="bg-BG" w:eastAsia="en-US"/>
        </w:rPr>
      </w:pPr>
      <w:r w:rsidRPr="005A10AB">
        <w:rPr>
          <w:rFonts w:eastAsiaTheme="minorHAnsi"/>
          <w:b/>
          <w:sz w:val="24"/>
          <w:szCs w:val="24"/>
          <w:lang w:val="bg-BG" w:eastAsia="en-US"/>
        </w:rPr>
        <w:lastRenderedPageBreak/>
        <w:t>При наличие на няколко площадки (при децентрализиран подход) и в случай, че за една от тези площадки не са удовлетворени изискванията за получаване на максимален брой точки, то съответният критерий се оценява с 0 точки. Не се извършва оценка на критериите за всяка една площадка по отделно.</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b/>
          <w:i/>
          <w:color w:val="00B050"/>
          <w:sz w:val="24"/>
          <w:szCs w:val="24"/>
          <w:lang w:val="bg-BG" w:eastAsia="en-US"/>
        </w:rPr>
      </w:pPr>
      <w:r w:rsidRPr="005A10AB">
        <w:rPr>
          <w:rFonts w:eastAsiaTheme="minorHAnsi"/>
          <w:b/>
          <w:i/>
          <w:color w:val="00B050"/>
          <w:sz w:val="24"/>
          <w:szCs w:val="24"/>
          <w:lang w:val="bg-BG" w:eastAsia="en-US"/>
        </w:rPr>
        <w:t>Б. Икономически критерии</w:t>
      </w:r>
    </w:p>
    <w:p w:rsidR="005A10AB" w:rsidRPr="005A10AB" w:rsidRDefault="005A10AB" w:rsidP="005A10AB">
      <w:pPr>
        <w:jc w:val="both"/>
        <w:rPr>
          <w:rFonts w:eastAsiaTheme="minorHAnsi"/>
          <w:b/>
          <w:i/>
          <w:color w:val="00B050"/>
          <w:sz w:val="24"/>
          <w:szCs w:val="24"/>
          <w:lang w:val="bg-BG" w:eastAsia="en-US"/>
        </w:rPr>
      </w:pP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1.Промяна в климата</w:t>
      </w:r>
      <w:r w:rsidRPr="005A10AB">
        <w:rPr>
          <w:rFonts w:eastAsiaTheme="minorHAnsi"/>
          <w:b/>
          <w:i/>
          <w:sz w:val="24"/>
          <w:szCs w:val="24"/>
          <w:lang w:val="bg-BG" w:eastAsia="en-US"/>
        </w:rPr>
        <w:tab/>
      </w:r>
    </w:p>
    <w:p w:rsidR="005A10AB" w:rsidRPr="005A10AB" w:rsidRDefault="005A10AB" w:rsidP="005A10AB">
      <w:pPr>
        <w:jc w:val="both"/>
        <w:rPr>
          <w:rFonts w:eastAsiaTheme="minorHAnsi"/>
          <w:b/>
          <w:sz w:val="24"/>
          <w:szCs w:val="24"/>
          <w:lang w:val="bg-BG" w:eastAsia="en-US"/>
        </w:rPr>
      </w:pPr>
    </w:p>
    <w:p w:rsidR="005A10AB" w:rsidRPr="005A10AB" w:rsidRDefault="005A10AB" w:rsidP="005A10AB">
      <w:pPr>
        <w:jc w:val="both"/>
        <w:rPr>
          <w:rFonts w:eastAsiaTheme="minorHAnsi"/>
          <w:b/>
          <w:sz w:val="24"/>
          <w:szCs w:val="24"/>
          <w:lang w:val="bg-BG" w:eastAsia="en-US"/>
        </w:rPr>
      </w:pPr>
      <w:r w:rsidRPr="005A10AB">
        <w:rPr>
          <w:rFonts w:eastAsiaTheme="minorHAnsi"/>
          <w:b/>
          <w:i/>
          <w:sz w:val="24"/>
          <w:szCs w:val="24"/>
          <w:lang w:val="bg-BG" w:eastAsia="en-US"/>
        </w:rPr>
        <w:t>1.</w:t>
      </w:r>
      <w:proofErr w:type="spellStart"/>
      <w:r w:rsidRPr="005A10AB">
        <w:rPr>
          <w:rFonts w:eastAsiaTheme="minorHAnsi"/>
          <w:b/>
          <w:i/>
          <w:sz w:val="24"/>
          <w:szCs w:val="24"/>
          <w:lang w:val="bg-BG" w:eastAsia="en-US"/>
        </w:rPr>
        <w:t>1</w:t>
      </w:r>
      <w:proofErr w:type="spellEnd"/>
      <w:r w:rsidRPr="005A10AB">
        <w:rPr>
          <w:rFonts w:eastAsiaTheme="minorHAnsi"/>
          <w:b/>
          <w:i/>
          <w:sz w:val="24"/>
          <w:szCs w:val="24"/>
          <w:lang w:val="bg-BG" w:eastAsia="en-US"/>
        </w:rPr>
        <w:t>. Емисии на</w:t>
      </w:r>
      <w:r w:rsidRPr="005A10AB">
        <w:rPr>
          <w:rFonts w:eastAsiaTheme="minorHAnsi"/>
          <w:b/>
          <w:sz w:val="24"/>
          <w:szCs w:val="24"/>
          <w:lang w:val="bg-BG" w:eastAsia="en-US"/>
        </w:rPr>
        <w:t xml:space="preserve"> </w:t>
      </w:r>
      <w:r w:rsidRPr="005A10AB">
        <w:rPr>
          <w:rFonts w:eastAsiaTheme="minorHAnsi"/>
          <w:b/>
          <w:i/>
          <w:sz w:val="24"/>
          <w:szCs w:val="24"/>
          <w:lang w:val="bg-BG" w:eastAsia="en-US"/>
        </w:rPr>
        <w:t>CO</w:t>
      </w:r>
      <w:r w:rsidRPr="005A10AB">
        <w:rPr>
          <w:rFonts w:eastAsiaTheme="minorHAnsi"/>
          <w:b/>
          <w:i/>
          <w:sz w:val="24"/>
          <w:szCs w:val="24"/>
          <w:vertAlign w:val="subscript"/>
          <w:lang w:val="bg-BG" w:eastAsia="en-US"/>
        </w:rPr>
        <w:t>2</w:t>
      </w:r>
      <w:r w:rsidRPr="005A10AB">
        <w:rPr>
          <w:rFonts w:eastAsiaTheme="minorHAnsi"/>
          <w:b/>
          <w:i/>
          <w:sz w:val="24"/>
          <w:szCs w:val="24"/>
          <w:lang w:val="bg-BG" w:eastAsia="en-US"/>
        </w:rPr>
        <w:t xml:space="preserve"> (остойностяване на емисиите съгласно изминатите километри за година)</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Оценката на този критерий се извършва на два етапа:</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1) Извършва се количествено остойностяване, въз основа на изминатите километри за една календарна година от техниката за събиране и транспортиране съответно на разделно събраните зелени и/или </w:t>
      </w:r>
      <w:proofErr w:type="spellStart"/>
      <w:r w:rsidRPr="005A10AB">
        <w:rPr>
          <w:rFonts w:eastAsiaTheme="minorHAnsi"/>
          <w:sz w:val="24"/>
          <w:szCs w:val="24"/>
          <w:lang w:val="bg-BG" w:eastAsia="en-US"/>
        </w:rPr>
        <w:t>биоразградимите</w:t>
      </w:r>
      <w:proofErr w:type="spellEnd"/>
      <w:r w:rsidRPr="005A10AB">
        <w:rPr>
          <w:rFonts w:eastAsiaTheme="minorHAnsi"/>
          <w:sz w:val="24"/>
          <w:szCs w:val="24"/>
          <w:lang w:val="bg-BG" w:eastAsia="en-US"/>
        </w:rPr>
        <w:t xml:space="preserve"> отпадъци и, смесено събраните битови отпадъци (сив контейнер) от източниците до съответната площадката. Километрите следва да са сума от дължината на маршрутите в рамките на всички обслужвани населени места и дължината на маршрутите от населените места до площадката със съответната инсталация. Ако площадката за предварително третиране е отдалечена от площадката, на която се намира регионалното депо, се вземат предвид в уравнението и изминалите километри за транспортиране на остатъчната фракция отпадъци след предварителното третиране, която е предназначена за обезвреждане (депониране).</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Изминатите километри за година се умножават по стойността </w:t>
      </w:r>
      <w:r w:rsidRPr="005A10AB">
        <w:rPr>
          <w:rFonts w:eastAsiaTheme="minorHAnsi"/>
          <w:sz w:val="24"/>
          <w:szCs w:val="24"/>
          <w:lang w:val="en-US" w:eastAsia="en-US"/>
        </w:rPr>
        <w:t xml:space="preserve">в </w:t>
      </w:r>
      <w:proofErr w:type="spellStart"/>
      <w:r w:rsidRPr="005A10AB">
        <w:rPr>
          <w:rFonts w:eastAsiaTheme="minorHAnsi"/>
          <w:sz w:val="24"/>
          <w:szCs w:val="24"/>
          <w:lang w:val="en-US" w:eastAsia="en-US"/>
        </w:rPr>
        <w:t>лева</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на</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километър</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на</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емисиите</w:t>
      </w:r>
      <w:proofErr w:type="spellEnd"/>
      <w:r w:rsidRPr="005A10AB">
        <w:rPr>
          <w:rFonts w:eastAsiaTheme="minorHAnsi"/>
          <w:sz w:val="24"/>
          <w:szCs w:val="24"/>
          <w:lang w:val="en-US" w:eastAsia="en-US"/>
        </w:rPr>
        <w:t xml:space="preserve"> CO</w:t>
      </w:r>
      <w:r w:rsidRPr="005A10AB">
        <w:rPr>
          <w:rFonts w:eastAsiaTheme="minorHAnsi"/>
          <w:sz w:val="24"/>
          <w:szCs w:val="24"/>
          <w:vertAlign w:val="subscript"/>
          <w:lang w:val="en-US" w:eastAsia="en-US"/>
        </w:rPr>
        <w:t>2</w:t>
      </w:r>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за</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годината</w:t>
      </w:r>
      <w:proofErr w:type="spellEnd"/>
      <w:r w:rsidRPr="005A10AB">
        <w:rPr>
          <w:rFonts w:eastAsiaTheme="minorHAnsi"/>
          <w:sz w:val="24"/>
          <w:szCs w:val="24"/>
          <w:lang w:val="en-US" w:eastAsia="en-US"/>
        </w:rPr>
        <w:t xml:space="preserve">, в </w:t>
      </w:r>
      <w:proofErr w:type="spellStart"/>
      <w:r w:rsidRPr="005A10AB">
        <w:rPr>
          <w:rFonts w:eastAsiaTheme="minorHAnsi"/>
          <w:sz w:val="24"/>
          <w:szCs w:val="24"/>
          <w:lang w:val="en-US" w:eastAsia="en-US"/>
        </w:rPr>
        <w:t>която</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ще</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бъде</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подадено</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проектното</w:t>
      </w:r>
      <w:proofErr w:type="spellEnd"/>
      <w:r w:rsidRPr="005A10AB">
        <w:rPr>
          <w:rFonts w:eastAsiaTheme="minorHAnsi"/>
          <w:sz w:val="24"/>
          <w:szCs w:val="24"/>
          <w:lang w:val="en-US" w:eastAsia="en-US"/>
        </w:rPr>
        <w:t xml:space="preserve"> </w:t>
      </w:r>
      <w:proofErr w:type="spellStart"/>
      <w:r w:rsidRPr="005A10AB">
        <w:rPr>
          <w:rFonts w:eastAsiaTheme="minorHAnsi"/>
          <w:sz w:val="24"/>
          <w:szCs w:val="24"/>
          <w:lang w:val="en-US" w:eastAsia="en-US"/>
        </w:rPr>
        <w:t>предложение</w:t>
      </w:r>
      <w:proofErr w:type="spellEnd"/>
      <w:r w:rsidRPr="005A10AB">
        <w:rPr>
          <w:rFonts w:eastAsiaTheme="minorHAnsi"/>
          <w:sz w:val="24"/>
          <w:szCs w:val="24"/>
          <w:lang w:val="bg-BG" w:eastAsia="en-US"/>
        </w:rPr>
        <w:t>, съгласно данните от таблица №3 в лист "Цени CO</w:t>
      </w:r>
      <w:r w:rsidRPr="005A10AB">
        <w:rPr>
          <w:rFonts w:eastAsiaTheme="minorHAnsi"/>
          <w:sz w:val="24"/>
          <w:szCs w:val="24"/>
          <w:vertAlign w:val="subscript"/>
          <w:lang w:val="bg-BG" w:eastAsia="en-US"/>
        </w:rPr>
        <w:t>2</w:t>
      </w:r>
      <w:r w:rsidRPr="005A10AB">
        <w:rPr>
          <w:rFonts w:eastAsiaTheme="minorHAnsi"/>
          <w:sz w:val="24"/>
          <w:szCs w:val="24"/>
          <w:lang w:val="bg-BG" w:eastAsia="en-US"/>
        </w:rPr>
        <w:t xml:space="preserve">".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2) След количественото остойностяване, се преминава към качествено определяне на критерия, като повече точки се присъждат при по-ниската стойност.</w:t>
      </w:r>
      <w:r w:rsidR="004F2E97">
        <w:rPr>
          <w:rFonts w:eastAsiaTheme="minorHAnsi"/>
          <w:sz w:val="24"/>
          <w:szCs w:val="24"/>
          <w:lang w:val="bg-BG" w:eastAsia="en-US"/>
        </w:rPr>
        <w:t xml:space="preserve"> А</w:t>
      </w:r>
      <w:r w:rsidR="004F2E97" w:rsidRPr="004F2E97">
        <w:rPr>
          <w:rFonts w:eastAsiaTheme="minorHAnsi"/>
          <w:sz w:val="24"/>
          <w:szCs w:val="24"/>
          <w:lang w:val="bg-BG" w:eastAsia="en-US"/>
        </w:rPr>
        <w:t xml:space="preserve">ко </w:t>
      </w:r>
      <w:r w:rsidR="004F2E97">
        <w:rPr>
          <w:rFonts w:eastAsiaTheme="minorHAnsi"/>
          <w:sz w:val="24"/>
          <w:szCs w:val="24"/>
          <w:lang w:val="bg-BG" w:eastAsia="en-US"/>
        </w:rPr>
        <w:t xml:space="preserve">при </w:t>
      </w:r>
      <w:r w:rsidR="004F2E97" w:rsidRPr="004F2E97">
        <w:rPr>
          <w:rFonts w:eastAsiaTheme="minorHAnsi"/>
          <w:sz w:val="24"/>
          <w:szCs w:val="24"/>
          <w:lang w:val="bg-BG" w:eastAsia="en-US"/>
        </w:rPr>
        <w:t>количествено</w:t>
      </w:r>
      <w:r w:rsidR="004F2E97">
        <w:rPr>
          <w:rFonts w:eastAsiaTheme="minorHAnsi"/>
          <w:sz w:val="24"/>
          <w:szCs w:val="24"/>
          <w:lang w:val="bg-BG" w:eastAsia="en-US"/>
        </w:rPr>
        <w:t>то</w:t>
      </w:r>
      <w:r w:rsidR="004F2E97" w:rsidRPr="004F2E97">
        <w:rPr>
          <w:rFonts w:eastAsiaTheme="minorHAnsi"/>
          <w:sz w:val="24"/>
          <w:szCs w:val="24"/>
          <w:lang w:val="bg-BG" w:eastAsia="en-US"/>
        </w:rPr>
        <w:t xml:space="preserve"> остойностяване се получат напълно еднакви или</w:t>
      </w:r>
      <w:r w:rsidR="004F2E97">
        <w:rPr>
          <w:rFonts w:eastAsiaTheme="minorHAnsi"/>
          <w:sz w:val="24"/>
          <w:szCs w:val="24"/>
          <w:lang w:val="bg-BG" w:eastAsia="en-US"/>
        </w:rPr>
        <w:t xml:space="preserve"> близки като стойност резултати за</w:t>
      </w:r>
      <w:r w:rsidR="004F2E97" w:rsidRPr="004F2E97">
        <w:rPr>
          <w:rFonts w:eastAsiaTheme="minorHAnsi"/>
          <w:sz w:val="24"/>
          <w:szCs w:val="24"/>
          <w:lang w:val="bg-BG" w:eastAsia="en-US"/>
        </w:rPr>
        <w:t xml:space="preserve"> двата подхода, то при качественото остойностяване </w:t>
      </w:r>
      <w:r w:rsidR="004F2E97">
        <w:rPr>
          <w:rFonts w:eastAsiaTheme="minorHAnsi"/>
          <w:sz w:val="24"/>
          <w:szCs w:val="24"/>
          <w:lang w:val="bg-BG" w:eastAsia="en-US"/>
        </w:rPr>
        <w:t xml:space="preserve">по този критерии се поставят </w:t>
      </w:r>
      <w:r w:rsidR="004F2E97" w:rsidRPr="004F2E97">
        <w:rPr>
          <w:rFonts w:eastAsiaTheme="minorHAnsi"/>
          <w:sz w:val="24"/>
          <w:szCs w:val="24"/>
          <w:lang w:val="bg-BG" w:eastAsia="en-US"/>
        </w:rPr>
        <w:t xml:space="preserve">еднакъв брой точки. </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b/>
          <w:i/>
          <w:sz w:val="24"/>
          <w:szCs w:val="24"/>
          <w:lang w:val="en-US" w:eastAsia="en-US"/>
        </w:rPr>
      </w:pPr>
      <w:r w:rsidRPr="005A10AB">
        <w:rPr>
          <w:rFonts w:eastAsiaTheme="minorHAnsi"/>
          <w:b/>
          <w:sz w:val="24"/>
          <w:szCs w:val="24"/>
          <w:lang w:val="bg-BG" w:eastAsia="en-US"/>
        </w:rPr>
        <w:t>2.</w:t>
      </w:r>
      <w:r w:rsidRPr="005A10AB">
        <w:rPr>
          <w:rFonts w:eastAsiaTheme="minorHAnsi"/>
          <w:b/>
          <w:i/>
          <w:sz w:val="24"/>
          <w:szCs w:val="24"/>
          <w:lang w:val="bg-BG" w:eastAsia="en-US"/>
        </w:rPr>
        <w:t>Шумови емисии</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Оценката на този критерии се извършва на два етапа:</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1) Критериите се остойностяват количествено, въз основа на изминатите километри за една календарна година от превозните средства, които транспортират разделно събраните зелени и/или битови отпадъци от източниците до площадката с инсталацията за </w:t>
      </w:r>
      <w:proofErr w:type="spellStart"/>
      <w:r w:rsidRPr="005A10AB">
        <w:rPr>
          <w:rFonts w:eastAsiaTheme="minorHAnsi"/>
          <w:sz w:val="24"/>
          <w:szCs w:val="24"/>
          <w:lang w:val="bg-BG" w:eastAsia="en-US"/>
        </w:rPr>
        <w:t>компостиране</w:t>
      </w:r>
      <w:proofErr w:type="spellEnd"/>
      <w:r w:rsidRPr="005A10AB">
        <w:rPr>
          <w:rFonts w:eastAsiaTheme="minorHAnsi"/>
          <w:sz w:val="24"/>
          <w:szCs w:val="24"/>
          <w:lang w:val="bg-BG" w:eastAsia="en-US"/>
        </w:rPr>
        <w:t xml:space="preserve">, съответно които събират смесено събраните битови отпадъци в границите на всички населени места, които се обслужват от инсталацията за предварително третиране.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За целта изминатите километри през определено населено място (градски условия, извънградски условия, селски райони) се умножава по съответната стойност в лева (</w:t>
      </w:r>
      <w:proofErr w:type="spellStart"/>
      <w:r w:rsidRPr="005A10AB">
        <w:rPr>
          <w:rFonts w:eastAsiaTheme="minorHAnsi"/>
          <w:sz w:val="24"/>
          <w:szCs w:val="24"/>
          <w:lang w:val="bg-BG" w:eastAsia="en-US"/>
        </w:rPr>
        <w:t>bgnct</w:t>
      </w:r>
      <w:proofErr w:type="spellEnd"/>
      <w:r w:rsidRPr="005A10AB">
        <w:rPr>
          <w:rFonts w:eastAsiaTheme="minorHAnsi"/>
          <w:sz w:val="24"/>
          <w:szCs w:val="24"/>
          <w:lang w:val="bg-BG" w:eastAsia="en-US"/>
        </w:rPr>
        <w:t>/v/</w:t>
      </w:r>
      <w:proofErr w:type="spellStart"/>
      <w:r w:rsidRPr="005A10AB">
        <w:rPr>
          <w:rFonts w:eastAsiaTheme="minorHAnsi"/>
          <w:sz w:val="24"/>
          <w:szCs w:val="24"/>
          <w:lang w:val="bg-BG" w:eastAsia="en-US"/>
        </w:rPr>
        <w:t>km</w:t>
      </w:r>
      <w:proofErr w:type="spellEnd"/>
      <w:r w:rsidRPr="005A10AB">
        <w:rPr>
          <w:rFonts w:eastAsiaTheme="minorHAnsi"/>
          <w:sz w:val="24"/>
          <w:szCs w:val="24"/>
          <w:lang w:val="bg-BG" w:eastAsia="en-US"/>
        </w:rPr>
        <w:t xml:space="preserve">), посочени в таблица № 4 в лист "Шумови емисии", съобразно вида на превозното средство и часовия диапазон в денонощието (през деня или през нощта), през който се извършва превоза на отпадъците. При количественото остойностяване на критерия се взима стойността в лева за годината, в която ще бъде подадено проектното предложение, като за всеки разглеждан подход (централизиран или децентрализиран) следва да се получи една стойност.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2) След количественото остойностяване се преминава към качествено определяне на критерия, като повече точки се присъждат на по-ниската стойност.</w:t>
      </w:r>
      <w:r w:rsidR="004F2E97" w:rsidRPr="004F2E97">
        <w:t xml:space="preserve"> </w:t>
      </w:r>
      <w:r w:rsidR="004F2E97" w:rsidRPr="004F2E97">
        <w:rPr>
          <w:rFonts w:eastAsiaTheme="minorHAnsi"/>
          <w:sz w:val="24"/>
          <w:szCs w:val="24"/>
          <w:lang w:val="bg-BG" w:eastAsia="en-US"/>
        </w:rPr>
        <w:t>Ако при количественото остойностяване се получат напълно еднакви или близки като стойност резултати за двата подхода, то при качественото остойностяване по този критерии се поставят еднакъв брой точки.</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b/>
          <w:i/>
          <w:color w:val="00B050"/>
          <w:sz w:val="24"/>
          <w:szCs w:val="24"/>
          <w:lang w:val="bg-BG" w:eastAsia="en-US"/>
        </w:rPr>
      </w:pPr>
      <w:r w:rsidRPr="005A10AB">
        <w:rPr>
          <w:rFonts w:eastAsiaTheme="minorHAnsi"/>
          <w:b/>
          <w:i/>
          <w:color w:val="00B050"/>
          <w:sz w:val="24"/>
          <w:szCs w:val="24"/>
          <w:lang w:val="bg-BG" w:eastAsia="en-US"/>
        </w:rPr>
        <w:t>В. Финансови критерии</w:t>
      </w:r>
    </w:p>
    <w:p w:rsidR="005A10AB" w:rsidRPr="005A10AB" w:rsidRDefault="005A10AB" w:rsidP="005A10AB">
      <w:pPr>
        <w:jc w:val="both"/>
        <w:rPr>
          <w:rFonts w:eastAsiaTheme="minorHAnsi"/>
          <w:b/>
          <w:i/>
          <w:color w:val="00B050"/>
          <w:sz w:val="24"/>
          <w:szCs w:val="24"/>
          <w:lang w:val="bg-BG" w:eastAsia="en-US"/>
        </w:rPr>
      </w:pPr>
    </w:p>
    <w:p w:rsidR="005A10AB" w:rsidRPr="005A10AB" w:rsidRDefault="005A10AB" w:rsidP="005A10AB">
      <w:pPr>
        <w:jc w:val="both"/>
        <w:rPr>
          <w:rFonts w:eastAsiaTheme="minorHAnsi"/>
          <w:b/>
          <w:i/>
          <w:sz w:val="24"/>
          <w:szCs w:val="24"/>
          <w:lang w:val="en-US" w:eastAsia="en-US"/>
        </w:rPr>
      </w:pPr>
      <w:r w:rsidRPr="005A10AB">
        <w:rPr>
          <w:rFonts w:eastAsiaTheme="minorHAnsi"/>
          <w:b/>
          <w:i/>
          <w:sz w:val="24"/>
          <w:szCs w:val="24"/>
          <w:lang w:val="bg-BG" w:eastAsia="en-US"/>
        </w:rPr>
        <w:t>1. Инвестиционни разходи:</w:t>
      </w:r>
    </w:p>
    <w:p w:rsidR="005A10AB" w:rsidRPr="005A10AB" w:rsidRDefault="005A10AB" w:rsidP="005A10AB">
      <w:pPr>
        <w:jc w:val="both"/>
        <w:rPr>
          <w:rFonts w:eastAsiaTheme="minorHAnsi"/>
          <w:b/>
          <w:sz w:val="24"/>
          <w:szCs w:val="24"/>
          <w:lang w:val="en-US" w:eastAsia="en-US"/>
        </w:rPr>
      </w:pPr>
    </w:p>
    <w:p w:rsidR="005A10AB" w:rsidRPr="005A10AB" w:rsidRDefault="005A10AB" w:rsidP="005A10AB">
      <w:pPr>
        <w:jc w:val="both"/>
        <w:rPr>
          <w:rFonts w:eastAsiaTheme="minorHAnsi"/>
          <w:b/>
          <w:i/>
          <w:color w:val="000000" w:themeColor="text1"/>
          <w:sz w:val="24"/>
          <w:szCs w:val="24"/>
          <w:lang w:val="bg-BG" w:eastAsia="en-US"/>
        </w:rPr>
      </w:pPr>
      <w:r w:rsidRPr="005A10AB">
        <w:rPr>
          <w:rFonts w:eastAsiaTheme="minorHAnsi"/>
          <w:b/>
          <w:i/>
          <w:color w:val="000000" w:themeColor="text1"/>
          <w:sz w:val="24"/>
          <w:szCs w:val="24"/>
          <w:lang w:val="bg-BG" w:eastAsia="en-US"/>
        </w:rPr>
        <w:t>1.1 Разходи за закупуване на земя</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Повече точки се присъждат, ако не е необходимо закупуване на земя.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Допуска се наличие на ограничени вещни права вместо закупуване, само ако собствеността на имотите е държавна. </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i/>
          <w:sz w:val="24"/>
          <w:szCs w:val="24"/>
          <w:lang w:val="bg-BG" w:eastAsia="en-US"/>
        </w:rPr>
      </w:pPr>
      <w:r w:rsidRPr="005A10AB">
        <w:rPr>
          <w:rFonts w:eastAsiaTheme="minorHAnsi"/>
          <w:b/>
          <w:i/>
          <w:sz w:val="24"/>
          <w:szCs w:val="24"/>
          <w:lang w:val="bg-BG" w:eastAsia="en-US"/>
        </w:rPr>
        <w:t>1.2. Разходи за строителство на основна инфраструктура (инсталации</w:t>
      </w:r>
      <w:r w:rsidRPr="005A10AB">
        <w:rPr>
          <w:rFonts w:eastAsiaTheme="minorHAnsi"/>
          <w:i/>
          <w:sz w:val="24"/>
          <w:szCs w:val="24"/>
          <w:lang w:val="bg-BG" w:eastAsia="en-US"/>
        </w:rPr>
        <w:t>)</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Оценката на критерия се извършва на два етапа – количествено и качествено.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1) Извършва се количествено остойностяване на база данните посочени в таблица № 1a или таблица № 2а, лист "</w:t>
      </w:r>
      <w:proofErr w:type="spellStart"/>
      <w:r w:rsidRPr="005A10AB">
        <w:rPr>
          <w:rFonts w:eastAsiaTheme="minorHAnsi"/>
          <w:sz w:val="24"/>
          <w:szCs w:val="24"/>
          <w:lang w:val="bg-BG" w:eastAsia="en-US"/>
        </w:rPr>
        <w:t>Окрупнени</w:t>
      </w:r>
      <w:proofErr w:type="spellEnd"/>
      <w:r w:rsidRPr="005A10AB">
        <w:rPr>
          <w:rFonts w:eastAsiaTheme="minorHAnsi"/>
          <w:sz w:val="24"/>
          <w:szCs w:val="24"/>
          <w:lang w:val="bg-BG" w:eastAsia="en-US"/>
        </w:rPr>
        <w:t xml:space="preserve"> стойности". За целта следва да бъде определен индикативния капацитет на инсталацията за </w:t>
      </w:r>
      <w:proofErr w:type="spellStart"/>
      <w:r w:rsidRPr="005A10AB">
        <w:rPr>
          <w:rFonts w:eastAsiaTheme="minorHAnsi"/>
          <w:sz w:val="24"/>
          <w:szCs w:val="24"/>
          <w:lang w:val="bg-BG" w:eastAsia="en-US"/>
        </w:rPr>
        <w:t>компостиране</w:t>
      </w:r>
      <w:proofErr w:type="spellEnd"/>
      <w:r w:rsidRPr="005A10AB">
        <w:rPr>
          <w:rFonts w:eastAsiaTheme="minorHAnsi"/>
          <w:sz w:val="24"/>
          <w:szCs w:val="24"/>
          <w:lang w:val="bg-BG" w:eastAsia="en-US"/>
        </w:rPr>
        <w:t xml:space="preserve"> и на инсталацията за предварително третиране (при повече от една инсталация от един вид - като сума от капацитетите на инсталациите) и от съответната таблица да се посочи индикативната стойност на разходите за изграждането й.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При остойностяването на критерия за инвестиционните разходи за инсталациите за </w:t>
      </w:r>
      <w:proofErr w:type="spellStart"/>
      <w:r w:rsidRPr="005A10AB">
        <w:rPr>
          <w:rFonts w:eastAsiaTheme="minorHAnsi"/>
          <w:sz w:val="24"/>
          <w:szCs w:val="24"/>
          <w:lang w:val="bg-BG" w:eastAsia="en-US"/>
        </w:rPr>
        <w:t>компостиране</w:t>
      </w:r>
      <w:proofErr w:type="spellEnd"/>
      <w:r w:rsidRPr="005A10AB">
        <w:rPr>
          <w:rFonts w:eastAsiaTheme="minorHAnsi"/>
          <w:sz w:val="24"/>
          <w:szCs w:val="24"/>
          <w:lang w:val="bg-BG" w:eastAsia="en-US"/>
        </w:rPr>
        <w:t xml:space="preserve"> следва да се има предвид, че в стойностите в таблица № 1а са включени разходи за:</w:t>
      </w:r>
    </w:p>
    <w:p w:rsidR="005A10AB" w:rsidRPr="005A10AB" w:rsidRDefault="005A10AB" w:rsidP="005A10AB">
      <w:pPr>
        <w:numPr>
          <w:ilvl w:val="0"/>
          <w:numId w:val="11"/>
        </w:numPr>
        <w:spacing w:after="200" w:line="276" w:lineRule="auto"/>
        <w:ind w:left="993" w:hanging="284"/>
        <w:contextualSpacing/>
        <w:jc w:val="both"/>
        <w:rPr>
          <w:rFonts w:eastAsiaTheme="minorHAnsi"/>
          <w:sz w:val="24"/>
          <w:szCs w:val="24"/>
          <w:lang w:val="bg-BG" w:eastAsia="en-US"/>
        </w:rPr>
      </w:pPr>
      <w:r w:rsidRPr="005A10AB">
        <w:rPr>
          <w:rFonts w:eastAsiaTheme="minorHAnsi"/>
          <w:sz w:val="24"/>
          <w:szCs w:val="24"/>
          <w:lang w:val="bg-BG" w:eastAsia="en-US"/>
        </w:rPr>
        <w:t>подготовката на проекта</w:t>
      </w:r>
      <w:r w:rsidR="00261D3F">
        <w:rPr>
          <w:rFonts w:eastAsiaTheme="minorHAnsi"/>
          <w:sz w:val="24"/>
          <w:szCs w:val="24"/>
          <w:lang w:val="bg-BG" w:eastAsia="en-US"/>
        </w:rPr>
        <w:t>, вкл. и за съпътстваща инфраструктура</w:t>
      </w:r>
      <w:r w:rsidRPr="005A10AB">
        <w:rPr>
          <w:rFonts w:eastAsiaTheme="minorHAnsi"/>
          <w:sz w:val="24"/>
          <w:szCs w:val="24"/>
          <w:lang w:val="bg-BG" w:eastAsia="en-US"/>
        </w:rPr>
        <w:t>;</w:t>
      </w:r>
    </w:p>
    <w:p w:rsidR="005A10AB" w:rsidRPr="005A10AB" w:rsidRDefault="005A10AB" w:rsidP="005A10AB">
      <w:pPr>
        <w:numPr>
          <w:ilvl w:val="0"/>
          <w:numId w:val="11"/>
        </w:numPr>
        <w:spacing w:after="200" w:line="276" w:lineRule="auto"/>
        <w:ind w:left="993" w:hanging="284"/>
        <w:contextualSpacing/>
        <w:jc w:val="both"/>
        <w:rPr>
          <w:rFonts w:eastAsiaTheme="minorHAnsi"/>
          <w:sz w:val="24"/>
          <w:szCs w:val="24"/>
          <w:lang w:val="bg-BG" w:eastAsia="en-US"/>
        </w:rPr>
      </w:pPr>
      <w:r w:rsidRPr="005A10AB">
        <w:rPr>
          <w:rFonts w:eastAsiaTheme="minorHAnsi"/>
          <w:sz w:val="24"/>
          <w:szCs w:val="24"/>
          <w:lang w:val="bg-BG" w:eastAsia="en-US"/>
        </w:rPr>
        <w:t>строително монтажни работи (СМР)</w:t>
      </w:r>
      <w:r w:rsidR="005B2B78">
        <w:rPr>
          <w:rFonts w:eastAsiaTheme="minorHAnsi"/>
          <w:sz w:val="24"/>
          <w:szCs w:val="24"/>
          <w:lang w:val="bg-BG" w:eastAsia="en-US"/>
        </w:rPr>
        <w:t>, вкл. и за съпътстваща инфраструктура</w:t>
      </w:r>
      <w:r w:rsidRPr="005A10AB">
        <w:rPr>
          <w:rFonts w:eastAsiaTheme="minorHAnsi"/>
          <w:sz w:val="24"/>
          <w:szCs w:val="24"/>
          <w:lang w:val="bg-BG" w:eastAsia="en-US"/>
        </w:rPr>
        <w:t xml:space="preserve"> и доставка на необходимото оборудване и техника;</w:t>
      </w:r>
    </w:p>
    <w:p w:rsidR="005A10AB" w:rsidRPr="005A10AB" w:rsidRDefault="005A10AB" w:rsidP="005A10AB">
      <w:pPr>
        <w:numPr>
          <w:ilvl w:val="0"/>
          <w:numId w:val="11"/>
        </w:numPr>
        <w:spacing w:after="200" w:line="276" w:lineRule="auto"/>
        <w:ind w:left="993" w:hanging="284"/>
        <w:contextualSpacing/>
        <w:jc w:val="both"/>
        <w:rPr>
          <w:rFonts w:eastAsiaTheme="minorHAnsi"/>
          <w:sz w:val="24"/>
          <w:szCs w:val="24"/>
          <w:lang w:val="bg-BG" w:eastAsia="en-US"/>
        </w:rPr>
      </w:pPr>
      <w:r w:rsidRPr="005A10AB">
        <w:rPr>
          <w:rFonts w:eastAsiaTheme="minorHAnsi"/>
          <w:sz w:val="24"/>
          <w:szCs w:val="24"/>
          <w:lang w:val="bg-BG" w:eastAsia="en-US"/>
        </w:rPr>
        <w:t>доставка на изцяло нови съдове и техника за разделно събиране на зелените и/или биоразградими битови отпадъци, в т.ч. съдове за многократна употреба, спрямо капацитета на инсталацията.</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При остойностяването на критерия за инвестиционните разходи за инсталациите за предварително третиране следва да се има предвид, че в стойностите в таблица № 2а са включени разходи за: </w:t>
      </w:r>
    </w:p>
    <w:p w:rsidR="005A10AB" w:rsidRPr="005A10AB" w:rsidRDefault="005A10AB" w:rsidP="005A10AB">
      <w:pPr>
        <w:numPr>
          <w:ilvl w:val="0"/>
          <w:numId w:val="11"/>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доставка и монтаж на всички съоръжения за постигане на целите по предварителното третиране на смесено събрани битови отпадъци;</w:t>
      </w:r>
    </w:p>
    <w:p w:rsidR="005A10AB" w:rsidRPr="005A10AB" w:rsidRDefault="005A10AB" w:rsidP="005A10AB">
      <w:pPr>
        <w:numPr>
          <w:ilvl w:val="0"/>
          <w:numId w:val="11"/>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подготовката на проекта;</w:t>
      </w:r>
    </w:p>
    <w:p w:rsidR="005A10AB" w:rsidRPr="005A10AB" w:rsidRDefault="005A10AB" w:rsidP="005A10AB">
      <w:pPr>
        <w:numPr>
          <w:ilvl w:val="0"/>
          <w:numId w:val="11"/>
        </w:numPr>
        <w:spacing w:after="200" w:line="276" w:lineRule="auto"/>
        <w:contextualSpacing/>
        <w:jc w:val="both"/>
        <w:rPr>
          <w:rFonts w:eastAsiaTheme="minorHAnsi"/>
          <w:sz w:val="24"/>
          <w:szCs w:val="24"/>
          <w:lang w:val="bg-BG" w:eastAsia="en-US"/>
        </w:rPr>
      </w:pPr>
      <w:r w:rsidRPr="005A10AB">
        <w:rPr>
          <w:rFonts w:eastAsiaTheme="minorHAnsi"/>
          <w:sz w:val="24"/>
          <w:szCs w:val="24"/>
          <w:lang w:val="bg-BG" w:eastAsia="en-US"/>
        </w:rPr>
        <w:t>СМР.</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2) След количественото остойностяване се преминава към качествено определяне на критерия, като повече точки се присъждат на по-ниската стойност.</w:t>
      </w:r>
      <w:r w:rsidR="004F2E97" w:rsidRPr="004F2E97">
        <w:t xml:space="preserve"> </w:t>
      </w:r>
      <w:r w:rsidR="004F2E97" w:rsidRPr="004F2E97">
        <w:rPr>
          <w:rFonts w:eastAsiaTheme="minorHAnsi"/>
          <w:sz w:val="24"/>
          <w:szCs w:val="24"/>
          <w:lang w:val="bg-BG" w:eastAsia="en-US"/>
        </w:rPr>
        <w:t>Ако при количественото остойностяване се получат напълно еднакви или близки като стойност резултати за двата подхода, то при качественото остойностяване по този критерии се поставят еднакъв брой точки.</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1.3. Разходи за строителство за довеждаща инфраструктура</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Критерият е качествен.</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Повече точки се присъждат, ако не е необходимо изграждане на довеждаща инфраструктура (водопровод, канализация, електропровод, път за достъп) към  площадките, на които се предвижда да се изграждат инсталациите.</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1.4. Разходи за закупуване и доставка на съдове за разделно събиране, техника, други</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Критерият е качествен и се прилага само при съпоставяне на подходи с инсталации за </w:t>
      </w:r>
      <w:proofErr w:type="spellStart"/>
      <w:r w:rsidRPr="005A10AB">
        <w:rPr>
          <w:rFonts w:eastAsiaTheme="minorHAnsi"/>
          <w:color w:val="000000" w:themeColor="text1"/>
          <w:sz w:val="24"/>
          <w:szCs w:val="24"/>
          <w:lang w:val="bg-BG" w:eastAsia="en-US"/>
        </w:rPr>
        <w:t>компостиране</w:t>
      </w:r>
      <w:proofErr w:type="spellEnd"/>
      <w:r w:rsidRPr="005A10AB">
        <w:rPr>
          <w:rFonts w:eastAsiaTheme="minorHAnsi"/>
          <w:color w:val="000000" w:themeColor="text1"/>
          <w:sz w:val="24"/>
          <w:szCs w:val="24"/>
          <w:lang w:val="bg-BG" w:eastAsia="en-US"/>
        </w:rPr>
        <w:t>.</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lastRenderedPageBreak/>
        <w:t xml:space="preserve">Най-много точки се присъждат, ако не е необходимо закупуване на изцяло нови съдове и техника за разделно събиране на зелени и/или биоразградими битови отпадъци. </w:t>
      </w:r>
    </w:p>
    <w:p w:rsidR="005A10AB" w:rsidRPr="005A10AB" w:rsidRDefault="005A10AB" w:rsidP="005A10AB">
      <w:pPr>
        <w:jc w:val="both"/>
        <w:rPr>
          <w:rFonts w:eastAsiaTheme="minorHAnsi"/>
          <w:i/>
          <w:sz w:val="24"/>
          <w:szCs w:val="24"/>
          <w:lang w:val="bg-BG" w:eastAsia="en-US"/>
        </w:rPr>
      </w:pPr>
    </w:p>
    <w:p w:rsidR="005A10AB" w:rsidRPr="005A10AB" w:rsidRDefault="005A10AB" w:rsidP="005A10AB">
      <w:pPr>
        <w:jc w:val="both"/>
        <w:rPr>
          <w:rFonts w:eastAsiaTheme="minorHAnsi"/>
          <w:b/>
          <w:i/>
          <w:sz w:val="24"/>
          <w:szCs w:val="24"/>
          <w:lang w:val="en-US" w:eastAsia="en-US"/>
        </w:rPr>
      </w:pPr>
      <w:r w:rsidRPr="005A10AB">
        <w:rPr>
          <w:rFonts w:eastAsiaTheme="minorHAnsi"/>
          <w:b/>
          <w:i/>
          <w:sz w:val="24"/>
          <w:szCs w:val="24"/>
          <w:lang w:val="bg-BG" w:eastAsia="en-US"/>
        </w:rPr>
        <w:t>2.Оперативни разходи</w:t>
      </w: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ab/>
      </w: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 xml:space="preserve">2.1. Годишни разходи за експлоатация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Оценката на критерия се извършва на два етапа – количествено и качествено. </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sz w:val="24"/>
          <w:szCs w:val="24"/>
          <w:lang w:val="bg-BG" w:eastAsia="en-US"/>
        </w:rPr>
        <w:t>1) Извършва се количествено остойностяване, за което следва да се предостави обосновка за стойността на експлоатационните разходи за всяка от предвидените инсталации</w:t>
      </w:r>
      <w:r w:rsidRPr="005A10AB">
        <w:rPr>
          <w:rFonts w:eastAsiaTheme="minorHAnsi"/>
          <w:color w:val="000000" w:themeColor="text1"/>
          <w:sz w:val="24"/>
          <w:szCs w:val="24"/>
          <w:lang w:val="bg-BG" w:eastAsia="en-US"/>
        </w:rPr>
        <w:t>. В тези разходи не следва да се включват транспортните разходи до и от площадките със съответните инсталации.</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При остойностяването на експлоатационните разходи следва да се съобрази вида инсталация (за </w:t>
      </w:r>
      <w:proofErr w:type="spellStart"/>
      <w:r w:rsidRPr="005A10AB">
        <w:rPr>
          <w:rFonts w:eastAsiaTheme="minorHAnsi"/>
          <w:color w:val="000000" w:themeColor="text1"/>
          <w:sz w:val="24"/>
          <w:szCs w:val="24"/>
          <w:lang w:val="bg-BG" w:eastAsia="en-US"/>
        </w:rPr>
        <w:t>компостиране</w:t>
      </w:r>
      <w:proofErr w:type="spellEnd"/>
      <w:r w:rsidRPr="005A10AB">
        <w:rPr>
          <w:rFonts w:eastAsiaTheme="minorHAnsi"/>
          <w:color w:val="000000" w:themeColor="text1"/>
          <w:sz w:val="24"/>
          <w:szCs w:val="24"/>
          <w:lang w:val="bg-BG" w:eastAsia="en-US"/>
        </w:rPr>
        <w:t xml:space="preserve"> или за предварително третиране) и нейния капацитет, като остойностяването е за всички инсталации от съответния вид, които се предвиждат при централизирания или децентрализиран подход. Остойностяването следва да е за период от една календарна година, като е препоръчително да се ползват данни от други подобни инсталации, за които има налична такава информация. </w:t>
      </w:r>
      <w:r w:rsidR="004F2E97" w:rsidRPr="004F2E97">
        <w:rPr>
          <w:rFonts w:eastAsiaTheme="minorHAnsi"/>
          <w:color w:val="000000" w:themeColor="text1"/>
          <w:sz w:val="24"/>
          <w:szCs w:val="24"/>
          <w:lang w:val="bg-BG" w:eastAsia="en-US"/>
        </w:rPr>
        <w:t xml:space="preserve">В случай, че липсва информация, е препоръчително да бъдат ползвани публично достъпни </w:t>
      </w:r>
      <w:proofErr w:type="spellStart"/>
      <w:r w:rsidR="004F2E97" w:rsidRPr="004F2E97">
        <w:rPr>
          <w:rFonts w:eastAsiaTheme="minorHAnsi"/>
          <w:color w:val="000000" w:themeColor="text1"/>
          <w:sz w:val="24"/>
          <w:szCs w:val="24"/>
          <w:lang w:val="bg-BG" w:eastAsia="en-US"/>
        </w:rPr>
        <w:t>окрупнени</w:t>
      </w:r>
      <w:proofErr w:type="spellEnd"/>
      <w:r w:rsidR="004F2E97" w:rsidRPr="004F2E97">
        <w:rPr>
          <w:rFonts w:eastAsiaTheme="minorHAnsi"/>
          <w:color w:val="000000" w:themeColor="text1"/>
          <w:sz w:val="24"/>
          <w:szCs w:val="24"/>
          <w:lang w:val="bg-BG" w:eastAsia="en-US"/>
        </w:rPr>
        <w:t xml:space="preserve"> стойности за експлоатационни разходи, например от </w:t>
      </w:r>
      <w:r w:rsidR="004F2E97" w:rsidRPr="00521929">
        <w:rPr>
          <w:rFonts w:eastAsiaTheme="minorHAnsi"/>
          <w:i/>
          <w:color w:val="000000" w:themeColor="text1"/>
          <w:sz w:val="24"/>
          <w:szCs w:val="24"/>
          <w:lang w:val="bg-BG" w:eastAsia="en-US"/>
        </w:rPr>
        <w:t xml:space="preserve">Националния стратегически план за поетапно намаляване на </w:t>
      </w:r>
      <w:proofErr w:type="spellStart"/>
      <w:r w:rsidR="004F2E97" w:rsidRPr="00521929">
        <w:rPr>
          <w:rFonts w:eastAsiaTheme="minorHAnsi"/>
          <w:i/>
          <w:color w:val="000000" w:themeColor="text1"/>
          <w:sz w:val="24"/>
          <w:szCs w:val="24"/>
          <w:lang w:val="bg-BG" w:eastAsia="en-US"/>
        </w:rPr>
        <w:t>биоразградимите</w:t>
      </w:r>
      <w:proofErr w:type="spellEnd"/>
      <w:r w:rsidR="004F2E97" w:rsidRPr="00521929">
        <w:rPr>
          <w:rFonts w:eastAsiaTheme="minorHAnsi"/>
          <w:i/>
          <w:color w:val="000000" w:themeColor="text1"/>
          <w:sz w:val="24"/>
          <w:szCs w:val="24"/>
          <w:lang w:val="bg-BG" w:eastAsia="en-US"/>
        </w:rPr>
        <w:t xml:space="preserve"> отпадъци </w:t>
      </w:r>
      <w:r w:rsidR="004F2E97" w:rsidRPr="004F2E97">
        <w:rPr>
          <w:rFonts w:eastAsiaTheme="minorHAnsi"/>
          <w:color w:val="000000" w:themeColor="text1"/>
          <w:sz w:val="24"/>
          <w:szCs w:val="24"/>
          <w:lang w:val="bg-BG" w:eastAsia="en-US"/>
        </w:rPr>
        <w:t xml:space="preserve">(т. 11.2. </w:t>
      </w:r>
      <w:r w:rsidR="004F2E97" w:rsidRPr="00521929">
        <w:rPr>
          <w:rFonts w:eastAsiaTheme="minorHAnsi"/>
          <w:i/>
          <w:color w:val="000000" w:themeColor="text1"/>
          <w:sz w:val="24"/>
          <w:szCs w:val="24"/>
          <w:lang w:val="bg-BG" w:eastAsia="en-US"/>
        </w:rPr>
        <w:t xml:space="preserve">Разходи за третиране на </w:t>
      </w:r>
      <w:proofErr w:type="spellStart"/>
      <w:r w:rsidR="004F2E97" w:rsidRPr="00521929">
        <w:rPr>
          <w:rFonts w:eastAsiaTheme="minorHAnsi"/>
          <w:i/>
          <w:color w:val="000000" w:themeColor="text1"/>
          <w:sz w:val="24"/>
          <w:szCs w:val="24"/>
          <w:lang w:val="bg-BG" w:eastAsia="en-US"/>
        </w:rPr>
        <w:t>биоразградимите</w:t>
      </w:r>
      <w:proofErr w:type="spellEnd"/>
      <w:r w:rsidR="004F2E97" w:rsidRPr="00521929">
        <w:rPr>
          <w:rFonts w:eastAsiaTheme="minorHAnsi"/>
          <w:i/>
          <w:color w:val="000000" w:themeColor="text1"/>
          <w:sz w:val="24"/>
          <w:szCs w:val="24"/>
          <w:lang w:val="bg-BG" w:eastAsia="en-US"/>
        </w:rPr>
        <w:t xml:space="preserve"> битови отпадъци</w:t>
      </w:r>
      <w:r w:rsidR="004F2E97" w:rsidRPr="004F2E97">
        <w:rPr>
          <w:rFonts w:eastAsiaTheme="minorHAnsi"/>
          <w:color w:val="000000" w:themeColor="text1"/>
          <w:sz w:val="24"/>
          <w:szCs w:val="24"/>
          <w:lang w:val="bg-BG" w:eastAsia="en-US"/>
        </w:rPr>
        <w:t xml:space="preserve">) по отношение на инсталацията за </w:t>
      </w:r>
      <w:proofErr w:type="spellStart"/>
      <w:r w:rsidR="004F2E97" w:rsidRPr="004F2E97">
        <w:rPr>
          <w:rFonts w:eastAsiaTheme="minorHAnsi"/>
          <w:color w:val="000000" w:themeColor="text1"/>
          <w:sz w:val="24"/>
          <w:szCs w:val="24"/>
          <w:lang w:val="bg-BG" w:eastAsia="en-US"/>
        </w:rPr>
        <w:t>компостиране</w:t>
      </w:r>
      <w:proofErr w:type="spellEnd"/>
      <w:r w:rsidR="004F2E97" w:rsidRPr="004F2E97">
        <w:rPr>
          <w:rFonts w:eastAsiaTheme="minorHAnsi"/>
          <w:color w:val="000000" w:themeColor="text1"/>
          <w:sz w:val="24"/>
          <w:szCs w:val="24"/>
          <w:lang w:val="bg-BG" w:eastAsia="en-US"/>
        </w:rPr>
        <w:t xml:space="preserve">.  Могат да се ползват други източници по отношение на въведени в експлоатация подобни по капацитет и прилагана технология на третиране инсталации за предварително третиране и за </w:t>
      </w:r>
      <w:proofErr w:type="spellStart"/>
      <w:r w:rsidR="004F2E97" w:rsidRPr="004F2E97">
        <w:rPr>
          <w:rFonts w:eastAsiaTheme="minorHAnsi"/>
          <w:color w:val="000000" w:themeColor="text1"/>
          <w:sz w:val="24"/>
          <w:szCs w:val="24"/>
          <w:lang w:val="bg-BG" w:eastAsia="en-US"/>
        </w:rPr>
        <w:t>компостиране</w:t>
      </w:r>
      <w:proofErr w:type="spellEnd"/>
      <w:r w:rsidR="004F2E97" w:rsidRPr="004F2E97">
        <w:rPr>
          <w:rFonts w:eastAsiaTheme="minorHAnsi"/>
          <w:color w:val="000000" w:themeColor="text1"/>
          <w:sz w:val="24"/>
          <w:szCs w:val="24"/>
          <w:lang w:val="bg-BG" w:eastAsia="en-US"/>
        </w:rPr>
        <w:t xml:space="preserve">, включително и за изградените със средства по ОПОС 2007-2013 г. Може да се ползват данни за инсталации, които са на или извън територията на Р България, но в рамките на Европейския съюз. В този случай в обосновката задължително се посочва източникът на ползваните </w:t>
      </w:r>
      <w:proofErr w:type="spellStart"/>
      <w:r w:rsidR="004F2E97" w:rsidRPr="004F2E97">
        <w:rPr>
          <w:rFonts w:eastAsiaTheme="minorHAnsi"/>
          <w:color w:val="000000" w:themeColor="text1"/>
          <w:sz w:val="24"/>
          <w:szCs w:val="24"/>
          <w:lang w:val="bg-BG" w:eastAsia="en-US"/>
        </w:rPr>
        <w:t>окрупнени</w:t>
      </w:r>
      <w:proofErr w:type="spellEnd"/>
      <w:r w:rsidR="004F2E97" w:rsidRPr="004F2E97">
        <w:rPr>
          <w:rFonts w:eastAsiaTheme="minorHAnsi"/>
          <w:color w:val="000000" w:themeColor="text1"/>
          <w:sz w:val="24"/>
          <w:szCs w:val="24"/>
          <w:lang w:val="bg-BG" w:eastAsia="en-US"/>
        </w:rPr>
        <w:t xml:space="preserve"> стойности за експлоатационни разходи.</w:t>
      </w:r>
      <w:r w:rsidRPr="005A10AB">
        <w:rPr>
          <w:rFonts w:eastAsiaTheme="minorHAnsi"/>
          <w:color w:val="000000" w:themeColor="text1"/>
          <w:sz w:val="24"/>
          <w:szCs w:val="24"/>
          <w:lang w:val="bg-BG" w:eastAsia="en-US"/>
        </w:rPr>
        <w:t xml:space="preserve">. </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2) След количественото остойностяване се преминава към качествено определяне на критерия, като повече точки се присъждат на по-ниската стойност.</w:t>
      </w:r>
      <w:r w:rsidR="004F2E97">
        <w:rPr>
          <w:rFonts w:eastAsiaTheme="minorHAnsi"/>
          <w:color w:val="000000" w:themeColor="text1"/>
          <w:sz w:val="24"/>
          <w:szCs w:val="24"/>
          <w:lang w:val="bg-BG" w:eastAsia="en-US"/>
        </w:rPr>
        <w:t xml:space="preserve"> </w:t>
      </w:r>
      <w:r w:rsidR="004F2E97" w:rsidRPr="004F2E97">
        <w:rPr>
          <w:rFonts w:eastAsiaTheme="minorHAnsi"/>
          <w:color w:val="000000" w:themeColor="text1"/>
          <w:sz w:val="24"/>
          <w:szCs w:val="24"/>
          <w:lang w:val="bg-BG" w:eastAsia="en-US"/>
        </w:rPr>
        <w:t>Ако при количественото остойностяване се получат напълно еднакви или близки като стойност резултати за двата подхода, то при качественото остойностяване по този критерии се поставят еднакъв брой точки.</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2.</w:t>
      </w:r>
      <w:proofErr w:type="spellStart"/>
      <w:r w:rsidRPr="005A10AB">
        <w:rPr>
          <w:rFonts w:eastAsiaTheme="minorHAnsi"/>
          <w:b/>
          <w:i/>
          <w:sz w:val="24"/>
          <w:szCs w:val="24"/>
          <w:lang w:val="bg-BG" w:eastAsia="en-US"/>
        </w:rPr>
        <w:t>2</w:t>
      </w:r>
      <w:proofErr w:type="spellEnd"/>
      <w:r w:rsidRPr="005A10AB">
        <w:rPr>
          <w:rFonts w:eastAsiaTheme="minorHAnsi"/>
          <w:b/>
          <w:i/>
          <w:sz w:val="24"/>
          <w:szCs w:val="24"/>
          <w:lang w:val="bg-BG" w:eastAsia="en-US"/>
        </w:rPr>
        <w:t xml:space="preserve">. Годишни разходи за транспорт </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Оценката на критерия се извършва на два етапа – количествено и качествено. </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1) Извършва се количествено остойностяване, като се предоставя обосновка за стойността на транспортните разходи до и от съответните площадки с инсталациите. </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Разходите за транспорт следва да включват калкулация на разходи за гориво, разходи за човекочасове труд, разходи за поддръжка на техниката за събиране и транспортиране на съответните потоци отпадъци и др., реализирани за една календарна година. </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2) След количественото остойностяване, се преминава към качествено определяне на критерия, като повече точки се присъждат при по-ниската стойност.</w:t>
      </w:r>
      <w:r w:rsidR="004F2E97">
        <w:rPr>
          <w:rFonts w:eastAsiaTheme="minorHAnsi"/>
          <w:color w:val="000000" w:themeColor="text1"/>
          <w:sz w:val="24"/>
          <w:szCs w:val="24"/>
          <w:lang w:val="bg-BG" w:eastAsia="en-US"/>
        </w:rPr>
        <w:t xml:space="preserve"> </w:t>
      </w:r>
      <w:r w:rsidR="004F2E97" w:rsidRPr="004F2E97">
        <w:rPr>
          <w:rFonts w:eastAsiaTheme="minorHAnsi"/>
          <w:color w:val="000000" w:themeColor="text1"/>
          <w:sz w:val="24"/>
          <w:szCs w:val="24"/>
          <w:lang w:val="bg-BG" w:eastAsia="en-US"/>
        </w:rPr>
        <w:t>Ако при количественото остойностяване се получат напълно еднакви или близки като стойност резултати за двата подхода, то при качественото остойностяване по този критерии се поставят еднакъв брой точки.</w:t>
      </w:r>
    </w:p>
    <w:p w:rsidR="005A10AB" w:rsidRPr="005A10AB" w:rsidRDefault="005A10AB" w:rsidP="005A10AB">
      <w:pPr>
        <w:ind w:firstLine="720"/>
        <w:jc w:val="both"/>
        <w:rPr>
          <w:rFonts w:eastAsiaTheme="minorHAnsi"/>
          <w:sz w:val="24"/>
          <w:szCs w:val="24"/>
          <w:lang w:val="bg-BG" w:eastAsia="en-US"/>
        </w:rPr>
      </w:pP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3. Очаквани приходи:</w:t>
      </w:r>
      <w:r w:rsidRPr="005A10AB">
        <w:rPr>
          <w:rFonts w:eastAsiaTheme="minorHAnsi"/>
          <w:b/>
          <w:i/>
          <w:sz w:val="24"/>
          <w:szCs w:val="24"/>
          <w:lang w:val="bg-BG" w:eastAsia="en-US"/>
        </w:rPr>
        <w:tab/>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Критерият е качествен.</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t xml:space="preserve">Точките се присъждат съгласно указанията в таблиците, в зависимост от предвижданията за съответния продукт от инсталацията за </w:t>
      </w:r>
      <w:proofErr w:type="spellStart"/>
      <w:r w:rsidRPr="005A10AB">
        <w:rPr>
          <w:rFonts w:eastAsiaTheme="minorHAnsi"/>
          <w:color w:val="000000" w:themeColor="text1"/>
          <w:sz w:val="24"/>
          <w:szCs w:val="24"/>
          <w:lang w:val="bg-BG" w:eastAsia="en-US"/>
        </w:rPr>
        <w:t>компостиране</w:t>
      </w:r>
      <w:proofErr w:type="spellEnd"/>
      <w:r w:rsidRPr="005A10AB">
        <w:rPr>
          <w:rFonts w:eastAsiaTheme="minorHAnsi"/>
          <w:color w:val="000000" w:themeColor="text1"/>
          <w:sz w:val="24"/>
          <w:szCs w:val="24"/>
          <w:lang w:val="bg-BG" w:eastAsia="en-US"/>
        </w:rPr>
        <w:t xml:space="preserve"> (</w:t>
      </w:r>
      <w:proofErr w:type="spellStart"/>
      <w:r w:rsidRPr="005A10AB">
        <w:rPr>
          <w:rFonts w:eastAsiaTheme="minorHAnsi"/>
          <w:color w:val="000000" w:themeColor="text1"/>
          <w:sz w:val="24"/>
          <w:szCs w:val="24"/>
          <w:lang w:val="bg-BG" w:eastAsia="en-US"/>
        </w:rPr>
        <w:t>компост</w:t>
      </w:r>
      <w:proofErr w:type="spellEnd"/>
      <w:r w:rsidRPr="005A10AB">
        <w:rPr>
          <w:rFonts w:eastAsiaTheme="minorHAnsi"/>
          <w:color w:val="000000" w:themeColor="text1"/>
          <w:sz w:val="24"/>
          <w:szCs w:val="24"/>
          <w:lang w:val="bg-BG" w:eastAsia="en-US"/>
        </w:rPr>
        <w:t xml:space="preserve">) или отделените от инсталацията за предварително третиране </w:t>
      </w:r>
      <w:proofErr w:type="spellStart"/>
      <w:r w:rsidRPr="005A10AB">
        <w:rPr>
          <w:rFonts w:eastAsiaTheme="minorHAnsi"/>
          <w:color w:val="000000" w:themeColor="text1"/>
          <w:sz w:val="24"/>
          <w:szCs w:val="24"/>
          <w:lang w:val="bg-BG" w:eastAsia="en-US"/>
        </w:rPr>
        <w:t>рециклируеми</w:t>
      </w:r>
      <w:proofErr w:type="spellEnd"/>
      <w:r w:rsidRPr="005A10AB">
        <w:rPr>
          <w:rFonts w:eastAsiaTheme="minorHAnsi"/>
          <w:color w:val="000000" w:themeColor="text1"/>
          <w:sz w:val="24"/>
          <w:szCs w:val="24"/>
          <w:lang w:val="bg-BG" w:eastAsia="en-US"/>
        </w:rPr>
        <w:t xml:space="preserve"> фракции отпадъци.</w:t>
      </w:r>
    </w:p>
    <w:p w:rsidR="005A10AB" w:rsidRPr="005A10AB" w:rsidRDefault="005A10AB" w:rsidP="005A10AB">
      <w:pPr>
        <w:jc w:val="both"/>
        <w:rPr>
          <w:rFonts w:eastAsiaTheme="minorHAnsi"/>
          <w:color w:val="000000" w:themeColor="text1"/>
          <w:sz w:val="24"/>
          <w:szCs w:val="24"/>
          <w:lang w:val="bg-BG" w:eastAsia="en-US"/>
        </w:rPr>
      </w:pPr>
      <w:r w:rsidRPr="005A10AB">
        <w:rPr>
          <w:rFonts w:eastAsiaTheme="minorHAnsi"/>
          <w:color w:val="000000" w:themeColor="text1"/>
          <w:sz w:val="24"/>
          <w:szCs w:val="24"/>
          <w:lang w:val="bg-BG" w:eastAsia="en-US"/>
        </w:rPr>
        <w:lastRenderedPageBreak/>
        <w:t>За присъждането на съответните точки следва да се представи кратка обосновка с мотивите за направената оценка.</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b/>
          <w:i/>
          <w:color w:val="00B050"/>
          <w:sz w:val="24"/>
          <w:szCs w:val="24"/>
          <w:lang w:val="bg-BG" w:eastAsia="en-US"/>
        </w:rPr>
      </w:pPr>
      <w:r w:rsidRPr="005A10AB">
        <w:rPr>
          <w:rFonts w:eastAsiaTheme="minorHAnsi"/>
          <w:b/>
          <w:i/>
          <w:color w:val="00B050"/>
          <w:sz w:val="24"/>
          <w:szCs w:val="24"/>
          <w:lang w:val="bg-BG" w:eastAsia="en-US"/>
        </w:rPr>
        <w:t>Г. Технически критерии</w:t>
      </w:r>
    </w:p>
    <w:p w:rsidR="005A10AB" w:rsidRPr="005A10AB" w:rsidRDefault="005A10AB" w:rsidP="005A10AB">
      <w:pPr>
        <w:jc w:val="both"/>
        <w:rPr>
          <w:rFonts w:eastAsiaTheme="minorHAnsi"/>
          <w:b/>
          <w:i/>
          <w:color w:val="00B050"/>
          <w:sz w:val="24"/>
          <w:szCs w:val="24"/>
          <w:lang w:val="bg-BG" w:eastAsia="en-US"/>
        </w:rPr>
      </w:pPr>
    </w:p>
    <w:p w:rsidR="005A10AB" w:rsidRPr="005A10AB" w:rsidRDefault="005A10AB" w:rsidP="005A10AB">
      <w:pPr>
        <w:jc w:val="both"/>
        <w:rPr>
          <w:rFonts w:eastAsiaTheme="minorHAnsi"/>
          <w:b/>
          <w:i/>
          <w:sz w:val="24"/>
          <w:szCs w:val="24"/>
          <w:lang w:val="en-US" w:eastAsia="en-US"/>
        </w:rPr>
      </w:pPr>
      <w:r w:rsidRPr="005A10AB">
        <w:rPr>
          <w:rFonts w:eastAsiaTheme="minorHAnsi"/>
          <w:b/>
          <w:i/>
          <w:sz w:val="24"/>
          <w:szCs w:val="24"/>
          <w:lang w:val="bg-BG" w:eastAsia="en-US"/>
        </w:rPr>
        <w:t>1.Съответствие с НПУО и други приложими стратегически документи</w:t>
      </w:r>
      <w:r w:rsidRPr="005A10AB">
        <w:rPr>
          <w:rFonts w:eastAsiaTheme="minorHAnsi"/>
          <w:b/>
          <w:i/>
          <w:sz w:val="24"/>
          <w:szCs w:val="24"/>
          <w:lang w:val="bg-BG" w:eastAsia="en-US"/>
        </w:rPr>
        <w:tab/>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Повече точки се присъждат, ако за съответния регион за управление на отпадъците в НПУО е констатирана необходимост от изграждане на допълнителна инфраструктура за третиране на битовите отпадъци, т.е. ако съответният регион е включен в Приложение № 3 (за необходимост от инсталации за предварително третиране) и Приложение № 4 (за необходимост от инсталации за </w:t>
      </w:r>
      <w:proofErr w:type="spellStart"/>
      <w:r w:rsidRPr="005A10AB">
        <w:rPr>
          <w:rFonts w:eastAsiaTheme="minorHAnsi"/>
          <w:sz w:val="24"/>
          <w:szCs w:val="24"/>
          <w:lang w:val="bg-BG" w:eastAsia="en-US"/>
        </w:rPr>
        <w:t>компостиране</w:t>
      </w:r>
      <w:proofErr w:type="spellEnd"/>
      <w:r w:rsidRPr="005A10AB">
        <w:rPr>
          <w:rFonts w:eastAsiaTheme="minorHAnsi"/>
          <w:sz w:val="24"/>
          <w:szCs w:val="24"/>
          <w:lang w:val="bg-BG" w:eastAsia="en-US"/>
        </w:rPr>
        <w:t>) от плана.</w:t>
      </w:r>
    </w:p>
    <w:p w:rsidR="005A10AB" w:rsidRPr="005A10AB" w:rsidRDefault="005A10AB" w:rsidP="005A10AB">
      <w:pPr>
        <w:jc w:val="both"/>
        <w:rPr>
          <w:rFonts w:eastAsiaTheme="minorHAnsi"/>
          <w:b/>
          <w:i/>
          <w:sz w:val="24"/>
          <w:szCs w:val="24"/>
          <w:lang w:val="bg-BG" w:eastAsia="en-US"/>
        </w:rPr>
      </w:pPr>
    </w:p>
    <w:p w:rsidR="005A10AB" w:rsidRPr="005A10AB" w:rsidRDefault="005A10AB" w:rsidP="005A10AB">
      <w:pPr>
        <w:jc w:val="both"/>
        <w:rPr>
          <w:rFonts w:eastAsiaTheme="minorHAnsi"/>
          <w:b/>
          <w:i/>
          <w:sz w:val="24"/>
          <w:szCs w:val="24"/>
          <w:lang w:val="en-US" w:eastAsia="en-US"/>
        </w:rPr>
      </w:pPr>
      <w:r w:rsidRPr="005A10AB">
        <w:rPr>
          <w:rFonts w:eastAsiaTheme="minorHAnsi"/>
          <w:b/>
          <w:i/>
          <w:sz w:val="24"/>
          <w:szCs w:val="24"/>
          <w:lang w:val="bg-BG" w:eastAsia="en-US"/>
        </w:rPr>
        <w:t>2.Осигуряване на постигане на целите по чл. 31 от ЗУО</w:t>
      </w:r>
    </w:p>
    <w:p w:rsidR="005A10AB" w:rsidRPr="005A10AB" w:rsidRDefault="005A10AB" w:rsidP="005A10AB">
      <w:pPr>
        <w:jc w:val="both"/>
        <w:rPr>
          <w:rFonts w:eastAsiaTheme="minorHAnsi"/>
          <w:sz w:val="24"/>
          <w:szCs w:val="24"/>
          <w:lang w:val="bg-BG" w:eastAsia="en-US"/>
        </w:rPr>
      </w:pPr>
      <w:r w:rsidRPr="005A10AB">
        <w:rPr>
          <w:rFonts w:eastAsiaTheme="minorHAnsi"/>
          <w:b/>
          <w:i/>
          <w:sz w:val="24"/>
          <w:szCs w:val="24"/>
          <w:lang w:val="bg-BG" w:eastAsia="en-US"/>
        </w:rPr>
        <w:t xml:space="preserve"> </w:t>
      </w:r>
      <w:r w:rsidRPr="005A10AB">
        <w:rPr>
          <w:rFonts w:eastAsiaTheme="minorHAnsi"/>
          <w:b/>
          <w:i/>
          <w:sz w:val="24"/>
          <w:szCs w:val="24"/>
          <w:lang w:val="bg-BG" w:eastAsia="en-US"/>
        </w:rPr>
        <w:tab/>
      </w: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Най-много точки се присъждат, когато капацитетите на съответните инсталации и избраната технология осигуряват постигане на целите по чл. 31 от ЗУО и след 2020 г. </w:t>
      </w:r>
    </w:p>
    <w:p w:rsidR="005A10AB" w:rsidRPr="005A10AB" w:rsidRDefault="005A10AB" w:rsidP="005A10AB">
      <w:pPr>
        <w:jc w:val="both"/>
        <w:rPr>
          <w:rFonts w:eastAsiaTheme="minorHAnsi"/>
          <w:color w:val="FF0000"/>
          <w:sz w:val="24"/>
          <w:szCs w:val="24"/>
          <w:lang w:val="bg-BG" w:eastAsia="en-US"/>
        </w:rPr>
      </w:pPr>
    </w:p>
    <w:p w:rsidR="005A10AB" w:rsidRPr="005A10AB" w:rsidRDefault="005A10AB" w:rsidP="005A10AB">
      <w:pPr>
        <w:jc w:val="both"/>
        <w:rPr>
          <w:rFonts w:eastAsiaTheme="minorHAnsi"/>
          <w:i/>
          <w:sz w:val="24"/>
          <w:szCs w:val="24"/>
          <w:lang w:val="en-US" w:eastAsia="en-US"/>
        </w:rPr>
      </w:pPr>
      <w:r w:rsidRPr="005A10AB">
        <w:rPr>
          <w:rFonts w:eastAsiaTheme="minorHAnsi"/>
          <w:b/>
          <w:i/>
          <w:sz w:val="24"/>
          <w:szCs w:val="24"/>
          <w:lang w:val="bg-BG" w:eastAsia="en-US"/>
        </w:rPr>
        <w:t>3.Обвързаност със съществуващата регионална система</w:t>
      </w:r>
      <w:r w:rsidRPr="005A10AB">
        <w:rPr>
          <w:rFonts w:eastAsiaTheme="minorHAnsi"/>
          <w:i/>
          <w:sz w:val="24"/>
          <w:szCs w:val="24"/>
          <w:lang w:val="bg-BG" w:eastAsia="en-US"/>
        </w:rPr>
        <w:t>:</w:t>
      </w:r>
      <w:r w:rsidRPr="005A10AB">
        <w:rPr>
          <w:rFonts w:eastAsiaTheme="minorHAnsi"/>
          <w:i/>
          <w:sz w:val="24"/>
          <w:szCs w:val="24"/>
          <w:lang w:val="bg-BG" w:eastAsia="en-US"/>
        </w:rPr>
        <w:tab/>
      </w:r>
    </w:p>
    <w:p w:rsidR="005A10AB" w:rsidRPr="005A10AB" w:rsidRDefault="005A10AB" w:rsidP="005A10AB">
      <w:pPr>
        <w:jc w:val="both"/>
        <w:rPr>
          <w:rFonts w:eastAsiaTheme="minorHAnsi"/>
          <w:i/>
          <w:sz w:val="24"/>
          <w:szCs w:val="24"/>
          <w:lang w:val="en-US" w:eastAsia="en-US"/>
        </w:rPr>
      </w:pP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3.1.Регионално депо</w:t>
      </w:r>
      <w:r w:rsidRPr="005A10AB">
        <w:rPr>
          <w:rFonts w:eastAsiaTheme="minorHAnsi"/>
          <w:b/>
          <w:i/>
          <w:sz w:val="24"/>
          <w:szCs w:val="24"/>
          <w:lang w:val="bg-BG" w:eastAsia="en-US"/>
        </w:rPr>
        <w:tab/>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Най-много точки се присъждат при наличие на изградено и въведено в експлоатация регионално депо за съответния регион за управление на отпадъците, което отговаря на нормативните изисквания.</w:t>
      </w:r>
    </w:p>
    <w:p w:rsidR="005A10AB" w:rsidRPr="005A10AB" w:rsidRDefault="005A10AB" w:rsidP="005A10AB">
      <w:pPr>
        <w:jc w:val="both"/>
        <w:rPr>
          <w:rFonts w:eastAsiaTheme="minorHAnsi"/>
          <w:i/>
          <w:sz w:val="24"/>
          <w:szCs w:val="24"/>
          <w:lang w:val="bg-BG" w:eastAsia="en-US"/>
        </w:rPr>
      </w:pP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 xml:space="preserve">3.2.Инсталации за </w:t>
      </w:r>
      <w:proofErr w:type="spellStart"/>
      <w:r w:rsidRPr="005A10AB">
        <w:rPr>
          <w:rFonts w:eastAsiaTheme="minorHAnsi"/>
          <w:b/>
          <w:i/>
          <w:sz w:val="24"/>
          <w:szCs w:val="24"/>
          <w:lang w:val="bg-BG" w:eastAsia="en-US"/>
        </w:rPr>
        <w:t>компостиране</w:t>
      </w:r>
      <w:proofErr w:type="spellEnd"/>
      <w:r w:rsidRPr="005A10AB">
        <w:rPr>
          <w:rFonts w:eastAsiaTheme="minorHAnsi"/>
          <w:b/>
          <w:i/>
          <w:sz w:val="24"/>
          <w:szCs w:val="24"/>
          <w:lang w:val="bg-BG" w:eastAsia="en-US"/>
        </w:rPr>
        <w:t xml:space="preserve">, съответно за предварително третиране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Повече точки се присъждат, ако на територията на региона няма изградена или не се използва инсталация за </w:t>
      </w:r>
      <w:proofErr w:type="spellStart"/>
      <w:r w:rsidRPr="005A10AB">
        <w:rPr>
          <w:rFonts w:eastAsiaTheme="minorHAnsi"/>
          <w:sz w:val="24"/>
          <w:szCs w:val="24"/>
          <w:lang w:val="bg-BG" w:eastAsia="en-US"/>
        </w:rPr>
        <w:t>компостиране</w:t>
      </w:r>
      <w:proofErr w:type="spellEnd"/>
      <w:r w:rsidRPr="005A10AB">
        <w:rPr>
          <w:rFonts w:eastAsiaTheme="minorHAnsi"/>
          <w:sz w:val="24"/>
          <w:szCs w:val="24"/>
          <w:lang w:val="bg-BG" w:eastAsia="en-US"/>
        </w:rPr>
        <w:t xml:space="preserve"> или за предварително третиране на отпадъци, с която да се извършва третиране на цялото количество от съответния поток битови отпадъци от региона.</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b/>
          <w:i/>
          <w:sz w:val="24"/>
          <w:szCs w:val="24"/>
          <w:lang w:val="bg-BG" w:eastAsia="en-US"/>
        </w:rPr>
      </w:pPr>
      <w:r w:rsidRPr="005A10AB">
        <w:rPr>
          <w:rFonts w:eastAsiaTheme="minorHAnsi"/>
          <w:b/>
          <w:i/>
          <w:sz w:val="24"/>
          <w:szCs w:val="24"/>
          <w:lang w:val="bg-BG" w:eastAsia="en-US"/>
        </w:rPr>
        <w:t>4.Проектна готовност</w:t>
      </w:r>
      <w:r w:rsidRPr="005A10AB">
        <w:rPr>
          <w:rFonts w:eastAsiaTheme="minorHAnsi"/>
          <w:b/>
          <w:i/>
          <w:sz w:val="24"/>
          <w:szCs w:val="24"/>
          <w:lang w:val="bg-BG" w:eastAsia="en-US"/>
        </w:rPr>
        <w:tab/>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Критерият е качествен.</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Най-много точки се присъждат, когато са налични всички изискуеми документи и е започнало строителство, т.е. като минимум е на лице откриване на строителна площадка и определяне на строителна линия и ниво на строежа.</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След оценяването по четирите групи критерии се сумират общия брой точки за всеки от двата подхода. При разлика в общия брой повече от 5 точки, се избира за по-ефективен този подход, който е получил повече точки.</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b/>
          <w:i/>
          <w:color w:val="00B050"/>
          <w:sz w:val="24"/>
          <w:szCs w:val="24"/>
          <w:lang w:val="bg-BG" w:eastAsia="en-US"/>
        </w:rPr>
      </w:pPr>
      <w:r w:rsidRPr="005A10AB">
        <w:rPr>
          <w:rFonts w:eastAsiaTheme="minorHAnsi"/>
          <w:b/>
          <w:i/>
          <w:color w:val="00B050"/>
          <w:sz w:val="24"/>
          <w:szCs w:val="24"/>
          <w:lang w:val="bg-BG" w:eastAsia="en-US"/>
        </w:rPr>
        <w:t>Оценка на риска</w:t>
      </w:r>
    </w:p>
    <w:p w:rsidR="005A10AB" w:rsidRPr="005A10AB" w:rsidRDefault="005A10AB" w:rsidP="005A10AB">
      <w:pPr>
        <w:jc w:val="both"/>
        <w:rPr>
          <w:rFonts w:eastAsiaTheme="minorHAnsi"/>
          <w:b/>
          <w:i/>
          <w:color w:val="00B050"/>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Само при случаите, при които общия брой точки при оценката на двата подхода е еднакъв или  разликата е до 5 точки, допълнително се оценява риска, за да може да </w:t>
      </w:r>
      <w:r w:rsidRPr="005A10AB">
        <w:rPr>
          <w:rFonts w:eastAsiaTheme="minorHAnsi"/>
          <w:sz w:val="24"/>
          <w:szCs w:val="24"/>
          <w:lang w:val="en-US" w:eastAsia="en-US"/>
        </w:rPr>
        <w:t xml:space="preserve"> </w:t>
      </w:r>
      <w:r w:rsidRPr="005A10AB">
        <w:rPr>
          <w:rFonts w:eastAsiaTheme="minorHAnsi"/>
          <w:sz w:val="24"/>
          <w:szCs w:val="24"/>
          <w:lang w:val="bg-BG" w:eastAsia="en-US"/>
        </w:rPr>
        <w:t>се избере по-ефективния от двата подхода.</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 xml:space="preserve">Целта на оценката на риска е да се определи нивото на риск за всеки един от подходите </w:t>
      </w:r>
      <w:r w:rsidRPr="005A10AB">
        <w:rPr>
          <w:rFonts w:eastAsiaTheme="minorHAnsi"/>
          <w:sz w:val="24"/>
          <w:szCs w:val="24"/>
          <w:lang w:val="en-US" w:eastAsia="en-US"/>
        </w:rPr>
        <w:t>(</w:t>
      </w:r>
      <w:r w:rsidRPr="005A10AB">
        <w:rPr>
          <w:rFonts w:eastAsiaTheme="minorHAnsi"/>
          <w:sz w:val="24"/>
          <w:szCs w:val="24"/>
          <w:lang w:val="bg-BG" w:eastAsia="en-US"/>
        </w:rPr>
        <w:t>алтернативите</w:t>
      </w:r>
      <w:r w:rsidRPr="005A10AB">
        <w:rPr>
          <w:rFonts w:eastAsiaTheme="minorHAnsi"/>
          <w:sz w:val="24"/>
          <w:szCs w:val="24"/>
          <w:lang w:val="en-US" w:eastAsia="en-US"/>
        </w:rPr>
        <w:t xml:space="preserve">) </w:t>
      </w:r>
      <w:r w:rsidRPr="005A10AB">
        <w:rPr>
          <w:rFonts w:eastAsiaTheme="minorHAnsi"/>
          <w:sz w:val="24"/>
          <w:szCs w:val="24"/>
          <w:lang w:val="bg-BG" w:eastAsia="en-US"/>
        </w:rPr>
        <w:t>–</w:t>
      </w:r>
      <w:r w:rsidRPr="005A10AB">
        <w:rPr>
          <w:rFonts w:eastAsiaTheme="minorHAnsi"/>
          <w:sz w:val="24"/>
          <w:szCs w:val="24"/>
          <w:lang w:val="en-US" w:eastAsia="en-US"/>
        </w:rPr>
        <w:t xml:space="preserve"> </w:t>
      </w:r>
      <w:r w:rsidRPr="005A10AB">
        <w:rPr>
          <w:rFonts w:eastAsiaTheme="minorHAnsi"/>
          <w:sz w:val="24"/>
          <w:szCs w:val="24"/>
          <w:lang w:val="bg-BG" w:eastAsia="en-US"/>
        </w:rPr>
        <w:t>централизиран или децентрализиран подход. Дефинират се видове рискове, степента им на влияние и вероятността от настъпване.</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lastRenderedPageBreak/>
        <w:t xml:space="preserve">Оценката на риска се извършва съгласно таблица № 5 от лист „Риск матрица“ на Приложение № 2. Риск-матрицата не предвижда мерки за смекчаване на риска, тази част от анализа на риска се извършва на по-късен етап, при изготвяне на анализа на разходи и ползите на проекта.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С цел улеснение при извършване на анализа, най-честите видове риск при този тип проекти са предварително дефинирани в колона 1</w:t>
      </w:r>
      <w:r w:rsidRPr="005A10AB">
        <w:rPr>
          <w:rFonts w:eastAsiaTheme="minorHAnsi"/>
          <w:sz w:val="24"/>
          <w:szCs w:val="24"/>
          <w:lang w:val="en-US" w:eastAsia="en-US"/>
        </w:rPr>
        <w:t xml:space="preserve"> </w:t>
      </w:r>
      <w:r w:rsidRPr="005A10AB">
        <w:rPr>
          <w:rFonts w:eastAsiaTheme="minorHAnsi"/>
          <w:sz w:val="24"/>
          <w:szCs w:val="24"/>
          <w:lang w:val="bg-BG" w:eastAsia="en-US"/>
        </w:rPr>
        <w:t>на таблица № 5. Възможно е  да бъдат включени и допълнителни рискове, които не са предвидени в риск-матрицата към момента.</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Вероятността от настъпване на риска</w:t>
      </w:r>
      <w:r w:rsidRPr="005A10AB">
        <w:rPr>
          <w:rFonts w:eastAsiaTheme="minorHAnsi"/>
          <w:sz w:val="24"/>
          <w:szCs w:val="24"/>
          <w:lang w:val="en-US" w:eastAsia="en-US"/>
        </w:rPr>
        <w:t xml:space="preserve"> </w:t>
      </w:r>
      <w:r w:rsidRPr="005A10AB">
        <w:rPr>
          <w:rFonts w:eastAsiaTheme="minorHAnsi"/>
          <w:sz w:val="24"/>
          <w:szCs w:val="24"/>
          <w:lang w:val="bg-BG" w:eastAsia="en-US"/>
        </w:rPr>
        <w:t>се попълва в колона 2 на същата таблица от риск-матрицата и се определя по следната скала:</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A</w:t>
      </w:r>
      <w:r w:rsidRPr="005A10AB">
        <w:rPr>
          <w:rFonts w:eastAsiaTheme="minorHAnsi"/>
          <w:sz w:val="24"/>
          <w:szCs w:val="24"/>
          <w:lang w:val="bg-BG" w:eastAsia="en-US"/>
        </w:rPr>
        <w:t>.Много малко вероятно - 0-10%</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B</w:t>
      </w:r>
      <w:r w:rsidRPr="005A10AB">
        <w:rPr>
          <w:rFonts w:eastAsiaTheme="minorHAnsi"/>
          <w:sz w:val="24"/>
          <w:szCs w:val="24"/>
          <w:lang w:val="bg-BG" w:eastAsia="en-US"/>
        </w:rPr>
        <w:t>.Малко вероятно - 10-33%</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C</w:t>
      </w:r>
      <w:r w:rsidRPr="005A10AB">
        <w:rPr>
          <w:rFonts w:eastAsiaTheme="minorHAnsi"/>
          <w:sz w:val="24"/>
          <w:szCs w:val="24"/>
          <w:lang w:val="bg-BG" w:eastAsia="en-US"/>
        </w:rPr>
        <w:t>.Средно вероятно - 33-66%</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D</w:t>
      </w:r>
      <w:r w:rsidRPr="005A10AB">
        <w:rPr>
          <w:rFonts w:eastAsiaTheme="minorHAnsi"/>
          <w:sz w:val="24"/>
          <w:szCs w:val="24"/>
          <w:lang w:val="bg-BG" w:eastAsia="en-US"/>
        </w:rPr>
        <w:t>.Вероятно – 66-90%</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E</w:t>
      </w:r>
      <w:r w:rsidRPr="005A10AB">
        <w:rPr>
          <w:rFonts w:eastAsiaTheme="minorHAnsi"/>
          <w:sz w:val="24"/>
          <w:szCs w:val="24"/>
          <w:lang w:val="bg-BG" w:eastAsia="en-US"/>
        </w:rPr>
        <w:t>.Много вероятно 90-100%</w:t>
      </w:r>
    </w:p>
    <w:p w:rsidR="005A10AB" w:rsidRPr="005A10AB" w:rsidRDefault="005A10AB" w:rsidP="005A10AB">
      <w:pPr>
        <w:jc w:val="both"/>
        <w:rPr>
          <w:rFonts w:eastAsiaTheme="minorHAnsi"/>
          <w:sz w:val="24"/>
          <w:szCs w:val="24"/>
          <w:highlight w:val="yellow"/>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Степента на влияние на риска се попълва в колона 3 на таблица № 5 от риск-матрицата и се определя по следната скала:</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 xml:space="preserve">I – </w:t>
      </w:r>
      <w:r w:rsidRPr="005A10AB">
        <w:rPr>
          <w:rFonts w:eastAsiaTheme="minorHAnsi"/>
          <w:sz w:val="24"/>
          <w:szCs w:val="24"/>
          <w:lang w:val="bg-BG" w:eastAsia="en-US"/>
        </w:rPr>
        <w:t>практически без влияние</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 xml:space="preserve">II – </w:t>
      </w:r>
      <w:r w:rsidRPr="005A10AB">
        <w:rPr>
          <w:rFonts w:eastAsiaTheme="minorHAnsi"/>
          <w:sz w:val="24"/>
          <w:szCs w:val="24"/>
          <w:lang w:val="bg-BG" w:eastAsia="en-US"/>
        </w:rPr>
        <w:t>незначителна степен на влияние</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 xml:space="preserve">III – </w:t>
      </w:r>
      <w:r w:rsidRPr="005A10AB">
        <w:rPr>
          <w:rFonts w:eastAsiaTheme="minorHAnsi"/>
          <w:sz w:val="24"/>
          <w:szCs w:val="24"/>
          <w:lang w:val="bg-BG" w:eastAsia="en-US"/>
        </w:rPr>
        <w:t>средна степен на влияние</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 xml:space="preserve">IV – </w:t>
      </w:r>
      <w:r w:rsidRPr="005A10AB">
        <w:rPr>
          <w:rFonts w:eastAsiaTheme="minorHAnsi"/>
          <w:sz w:val="24"/>
          <w:szCs w:val="24"/>
          <w:lang w:val="bg-BG" w:eastAsia="en-US"/>
        </w:rPr>
        <w:t>критична степен на влияние</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en-US" w:eastAsia="en-US"/>
        </w:rPr>
        <w:t xml:space="preserve">V – </w:t>
      </w:r>
      <w:r w:rsidRPr="005A10AB">
        <w:rPr>
          <w:rFonts w:eastAsiaTheme="minorHAnsi"/>
          <w:sz w:val="24"/>
          <w:szCs w:val="24"/>
          <w:lang w:val="bg-BG" w:eastAsia="en-US"/>
        </w:rPr>
        <w:t>неприемлива/катастрофална степен на влияние</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Нивото на риска се посочва в колона 4 на таблица № 5 от риск-матрицата и се определя по следната скала, като се засече точката на пресичане на определената вероятност и степента на влияние, която този риск ще окаже върху изпълнението на проекта:</w:t>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highlight w:val="yellow"/>
          <w:lang w:val="bg-BG" w:eastAsia="en-US"/>
        </w:rPr>
      </w:pPr>
      <w:r w:rsidRPr="005A10AB">
        <w:rPr>
          <w:rFonts w:asciiTheme="minorHAnsi" w:eastAsiaTheme="minorHAnsi" w:hAnsiTheme="minorHAnsi" w:cstheme="minorBidi"/>
          <w:noProof/>
          <w:sz w:val="22"/>
          <w:szCs w:val="22"/>
          <w:lang w:val="en-US" w:eastAsia="en-US"/>
        </w:rPr>
        <w:drawing>
          <wp:inline distT="0" distB="0" distL="0" distR="0" wp14:anchorId="67E10FB3" wp14:editId="402437FE">
            <wp:extent cx="6570345" cy="1478140"/>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345" cy="1478140"/>
                    </a:xfrm>
                    <a:prstGeom prst="rect">
                      <a:avLst/>
                    </a:prstGeom>
                    <a:noFill/>
                    <a:ln>
                      <a:noFill/>
                    </a:ln>
                  </pic:spPr>
                </pic:pic>
              </a:graphicData>
            </a:graphic>
          </wp:inline>
        </w:drawing>
      </w:r>
    </w:p>
    <w:p w:rsidR="005A10AB" w:rsidRPr="005A10AB" w:rsidRDefault="005A10AB" w:rsidP="005A10AB">
      <w:pPr>
        <w:jc w:val="both"/>
        <w:rPr>
          <w:rFonts w:eastAsiaTheme="minorHAnsi"/>
          <w:sz w:val="24"/>
          <w:szCs w:val="24"/>
          <w:highlight w:val="yellow"/>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Всяко ниво на риск носи съответния брой точки, посочени в таблицата по-долу, които се нанасят в колона 5 от риск-матрицата (таблица № 5). Точките се сумират за всички видове рискове в ред „Общо точки“.</w:t>
      </w:r>
    </w:p>
    <w:p w:rsidR="005A10AB" w:rsidRPr="005A10AB" w:rsidRDefault="005A10AB" w:rsidP="005A10AB">
      <w:pPr>
        <w:jc w:val="both"/>
        <w:rPr>
          <w:rFonts w:eastAsiaTheme="minorHAnsi"/>
          <w:sz w:val="24"/>
          <w:szCs w:val="24"/>
          <w:highlight w:val="yellow"/>
          <w:lang w:val="bg-BG" w:eastAsia="en-US"/>
        </w:rPr>
      </w:pPr>
    </w:p>
    <w:p w:rsidR="005A10AB" w:rsidRPr="005A10AB" w:rsidRDefault="005A10AB" w:rsidP="005A10AB">
      <w:pPr>
        <w:jc w:val="center"/>
        <w:rPr>
          <w:rFonts w:eastAsiaTheme="minorHAnsi"/>
          <w:sz w:val="24"/>
          <w:szCs w:val="24"/>
          <w:lang w:val="en-US" w:eastAsia="en-US"/>
        </w:rPr>
      </w:pPr>
      <w:r w:rsidRPr="005A10AB">
        <w:rPr>
          <w:rFonts w:asciiTheme="minorHAnsi" w:eastAsiaTheme="minorHAnsi" w:hAnsiTheme="minorHAnsi" w:cstheme="minorBidi"/>
          <w:noProof/>
          <w:sz w:val="22"/>
          <w:szCs w:val="22"/>
          <w:lang w:val="en-US" w:eastAsia="en-US"/>
        </w:rPr>
        <w:drawing>
          <wp:inline distT="0" distB="0" distL="0" distR="0" wp14:anchorId="4884EFAD" wp14:editId="2EEBA8F9">
            <wp:extent cx="423037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0370" cy="962025"/>
                    </a:xfrm>
                    <a:prstGeom prst="rect">
                      <a:avLst/>
                    </a:prstGeom>
                    <a:noFill/>
                    <a:ln>
                      <a:noFill/>
                    </a:ln>
                  </pic:spPr>
                </pic:pic>
              </a:graphicData>
            </a:graphic>
          </wp:inline>
        </w:drawing>
      </w:r>
    </w:p>
    <w:p w:rsidR="005A10AB" w:rsidRPr="005A10AB" w:rsidRDefault="005A10AB" w:rsidP="005A10AB">
      <w:pPr>
        <w:jc w:val="both"/>
        <w:rPr>
          <w:rFonts w:eastAsiaTheme="minorHAnsi"/>
          <w:sz w:val="24"/>
          <w:szCs w:val="24"/>
          <w:lang w:val="bg-BG" w:eastAsia="en-US"/>
        </w:rPr>
      </w:pP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Ако за даден вид подход</w:t>
      </w:r>
      <w:r w:rsidRPr="005A10AB">
        <w:rPr>
          <w:rFonts w:eastAsiaTheme="minorHAnsi"/>
          <w:sz w:val="24"/>
          <w:szCs w:val="24"/>
          <w:lang w:val="en-US" w:eastAsia="en-US"/>
        </w:rPr>
        <w:t xml:space="preserve"> </w:t>
      </w:r>
      <w:r w:rsidRPr="005A10AB">
        <w:rPr>
          <w:rFonts w:eastAsiaTheme="minorHAnsi"/>
          <w:sz w:val="24"/>
          <w:szCs w:val="24"/>
          <w:lang w:val="bg-BG" w:eastAsia="en-US"/>
        </w:rPr>
        <w:t xml:space="preserve"> се определи вид риск от колона 1, който е с оценка „неприемлив“, то този подход автоматично отпада като вариант, независимо от стойностите на останалите критерии.</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lastRenderedPageBreak/>
        <w:t xml:space="preserve">Оценката на риска се изпълнява по отделно и за двата похода (централизиран и децентрализиран) и за двата вида инсталации (за </w:t>
      </w:r>
      <w:proofErr w:type="spellStart"/>
      <w:r w:rsidRPr="005A10AB">
        <w:rPr>
          <w:rFonts w:eastAsiaTheme="minorHAnsi"/>
          <w:sz w:val="24"/>
          <w:szCs w:val="24"/>
          <w:lang w:val="bg-BG" w:eastAsia="en-US"/>
        </w:rPr>
        <w:t>компостиране</w:t>
      </w:r>
      <w:proofErr w:type="spellEnd"/>
      <w:r w:rsidRPr="005A10AB">
        <w:rPr>
          <w:rFonts w:eastAsiaTheme="minorHAnsi"/>
          <w:sz w:val="24"/>
          <w:szCs w:val="24"/>
          <w:lang w:val="bg-BG" w:eastAsia="en-US"/>
        </w:rPr>
        <w:t xml:space="preserve"> и за предварително третиране). </w:t>
      </w:r>
    </w:p>
    <w:p w:rsidR="005A10AB" w:rsidRPr="005A10AB" w:rsidRDefault="005A10AB" w:rsidP="005A10AB">
      <w:pPr>
        <w:jc w:val="both"/>
        <w:rPr>
          <w:rFonts w:eastAsiaTheme="minorHAnsi"/>
          <w:sz w:val="24"/>
          <w:szCs w:val="24"/>
          <w:lang w:val="bg-BG" w:eastAsia="en-US"/>
        </w:rPr>
      </w:pPr>
      <w:r w:rsidRPr="005A10AB">
        <w:rPr>
          <w:rFonts w:eastAsiaTheme="minorHAnsi"/>
          <w:sz w:val="24"/>
          <w:szCs w:val="24"/>
          <w:lang w:val="bg-BG" w:eastAsia="en-US"/>
        </w:rPr>
        <w:t>Полученият точки, след приключването на оценката на риска за даден</w:t>
      </w:r>
      <w:r w:rsidRPr="005A10AB">
        <w:rPr>
          <w:rFonts w:eastAsiaTheme="minorHAnsi"/>
          <w:sz w:val="24"/>
          <w:szCs w:val="24"/>
          <w:lang w:val="en-US" w:eastAsia="en-US"/>
        </w:rPr>
        <w:t xml:space="preserve"> </w:t>
      </w:r>
      <w:r w:rsidRPr="005A10AB">
        <w:rPr>
          <w:rFonts w:eastAsiaTheme="minorHAnsi"/>
          <w:sz w:val="24"/>
          <w:szCs w:val="24"/>
          <w:lang w:val="bg-BG" w:eastAsia="en-US"/>
        </w:rPr>
        <w:t xml:space="preserve">подход, показва нивата на риск. По-големият общ брой точки показва по-ниско ниво на риск, а по-малкият общ брой точки – по-високо ниво на риск., В таблици № 1 или № 2 от Приложение № 2 </w:t>
      </w:r>
      <w:r w:rsidRPr="005A10AB">
        <w:rPr>
          <w:rFonts w:eastAsiaTheme="minorHAnsi"/>
          <w:sz w:val="24"/>
          <w:szCs w:val="24"/>
          <w:lang w:val="en-US" w:eastAsia="en-US"/>
        </w:rPr>
        <w:t>(</w:t>
      </w:r>
      <w:r w:rsidRPr="005A10AB">
        <w:rPr>
          <w:rFonts w:eastAsiaTheme="minorHAnsi"/>
          <w:sz w:val="24"/>
          <w:szCs w:val="24"/>
          <w:lang w:val="bg-BG" w:eastAsia="en-US"/>
        </w:rPr>
        <w:t>в зависимост от вида инсталация</w:t>
      </w:r>
      <w:r w:rsidRPr="005A10AB">
        <w:rPr>
          <w:rFonts w:eastAsiaTheme="minorHAnsi"/>
          <w:sz w:val="24"/>
          <w:szCs w:val="24"/>
          <w:lang w:val="en-US" w:eastAsia="en-US"/>
        </w:rPr>
        <w:t>)</w:t>
      </w:r>
      <w:r w:rsidRPr="005A10AB">
        <w:rPr>
          <w:rFonts w:eastAsiaTheme="minorHAnsi"/>
          <w:sz w:val="24"/>
          <w:szCs w:val="24"/>
          <w:lang w:val="bg-BG" w:eastAsia="en-US"/>
        </w:rPr>
        <w:t xml:space="preserve"> в поле „Риск коефициент“ се присъждат </w:t>
      </w:r>
      <w:r w:rsidRPr="005A10AB">
        <w:rPr>
          <w:rFonts w:eastAsiaTheme="minorHAnsi"/>
          <w:b/>
          <w:sz w:val="24"/>
          <w:szCs w:val="24"/>
          <w:lang w:val="bg-BG" w:eastAsia="en-US"/>
        </w:rPr>
        <w:t>10 точки</w:t>
      </w:r>
      <w:r w:rsidRPr="005A10AB">
        <w:rPr>
          <w:rFonts w:eastAsiaTheme="minorHAnsi"/>
          <w:sz w:val="24"/>
          <w:szCs w:val="24"/>
          <w:lang w:val="bg-BG" w:eastAsia="en-US"/>
        </w:rPr>
        <w:t xml:space="preserve"> </w:t>
      </w:r>
      <w:r w:rsidRPr="005A10AB">
        <w:rPr>
          <w:rFonts w:eastAsiaTheme="minorHAnsi"/>
          <w:b/>
          <w:sz w:val="24"/>
          <w:szCs w:val="24"/>
          <w:lang w:val="bg-BG" w:eastAsia="en-US"/>
        </w:rPr>
        <w:t>за</w:t>
      </w:r>
      <w:r w:rsidRPr="005A10AB">
        <w:rPr>
          <w:rFonts w:eastAsiaTheme="minorHAnsi"/>
          <w:sz w:val="24"/>
          <w:szCs w:val="24"/>
          <w:lang w:val="bg-BG" w:eastAsia="en-US"/>
        </w:rPr>
        <w:t xml:space="preserve"> </w:t>
      </w:r>
      <w:r w:rsidRPr="005A10AB">
        <w:rPr>
          <w:rFonts w:eastAsiaTheme="minorHAnsi"/>
          <w:b/>
          <w:sz w:val="24"/>
          <w:szCs w:val="24"/>
          <w:lang w:val="bg-BG" w:eastAsia="en-US"/>
        </w:rPr>
        <w:t>по-ниски нива на риск</w:t>
      </w:r>
      <w:r w:rsidRPr="005A10AB">
        <w:rPr>
          <w:rFonts w:eastAsiaTheme="minorHAnsi"/>
          <w:sz w:val="24"/>
          <w:szCs w:val="24"/>
          <w:lang w:val="bg-BG" w:eastAsia="en-US"/>
        </w:rPr>
        <w:t xml:space="preserve"> </w:t>
      </w:r>
      <w:r w:rsidRPr="005A10AB">
        <w:rPr>
          <w:rFonts w:eastAsiaTheme="minorHAnsi"/>
          <w:b/>
          <w:sz w:val="24"/>
          <w:szCs w:val="24"/>
          <w:lang w:val="bg-BG" w:eastAsia="en-US"/>
        </w:rPr>
        <w:t>и 5 точки за по-високи нива на риск.</w:t>
      </w:r>
    </w:p>
    <w:p w:rsidR="005A10AB" w:rsidRPr="005A10AB" w:rsidRDefault="005A10AB" w:rsidP="005A10AB">
      <w:pPr>
        <w:autoSpaceDE w:val="0"/>
        <w:autoSpaceDN w:val="0"/>
        <w:adjustRightInd w:val="0"/>
        <w:spacing w:before="29" w:line="278" w:lineRule="exact"/>
        <w:jc w:val="both"/>
        <w:rPr>
          <w:color w:val="000000"/>
          <w:sz w:val="22"/>
          <w:szCs w:val="22"/>
          <w:lang w:val="bg-BG" w:eastAsia="bg-BG"/>
        </w:rPr>
      </w:pPr>
    </w:p>
    <w:p w:rsidR="005A10AB" w:rsidRPr="004F2E97" w:rsidRDefault="005A10AB" w:rsidP="005A10AB">
      <w:pPr>
        <w:autoSpaceDE w:val="0"/>
        <w:autoSpaceDN w:val="0"/>
        <w:adjustRightInd w:val="0"/>
        <w:spacing w:before="29" w:line="278" w:lineRule="exact"/>
        <w:jc w:val="both"/>
        <w:rPr>
          <w:color w:val="000000"/>
          <w:sz w:val="24"/>
          <w:szCs w:val="24"/>
          <w:lang w:val="bg-BG" w:eastAsia="bg-BG"/>
        </w:rPr>
      </w:pPr>
      <w:r w:rsidRPr="004F2E97">
        <w:rPr>
          <w:color w:val="000000"/>
          <w:sz w:val="24"/>
          <w:szCs w:val="24"/>
          <w:lang w:val="bg-BG" w:eastAsia="bg-BG"/>
        </w:rPr>
        <w:t>Получените точки след оценката на риска за двата подхода се добавят към общия им брой точки от оценката по четирите групи критерии. За по-ефективен се избира този подход, който събере по-голям брой точки.</w:t>
      </w:r>
    </w:p>
    <w:p w:rsidR="005A10AB" w:rsidRPr="004F2E97" w:rsidRDefault="005A10AB" w:rsidP="005A10AB">
      <w:pPr>
        <w:autoSpaceDE w:val="0"/>
        <w:autoSpaceDN w:val="0"/>
        <w:adjustRightInd w:val="0"/>
        <w:spacing w:before="29" w:line="278" w:lineRule="exact"/>
        <w:jc w:val="both"/>
        <w:rPr>
          <w:color w:val="000000"/>
          <w:sz w:val="24"/>
          <w:szCs w:val="24"/>
          <w:lang w:val="bg-BG" w:eastAsia="bg-BG"/>
        </w:rPr>
      </w:pPr>
    </w:p>
    <w:p w:rsidR="005A10AB" w:rsidRPr="004F2E97" w:rsidRDefault="005A10AB" w:rsidP="005A10AB">
      <w:pPr>
        <w:autoSpaceDE w:val="0"/>
        <w:autoSpaceDN w:val="0"/>
        <w:adjustRightInd w:val="0"/>
        <w:spacing w:before="29" w:line="278" w:lineRule="exact"/>
        <w:jc w:val="both"/>
        <w:rPr>
          <w:color w:val="000000"/>
          <w:sz w:val="24"/>
          <w:szCs w:val="24"/>
          <w:lang w:val="bg-BG" w:eastAsia="bg-BG"/>
        </w:rPr>
      </w:pPr>
    </w:p>
    <w:p w:rsidR="005A10AB" w:rsidRDefault="005A10AB" w:rsidP="005A10AB">
      <w:pPr>
        <w:autoSpaceDE w:val="0"/>
        <w:autoSpaceDN w:val="0"/>
        <w:adjustRightInd w:val="0"/>
        <w:spacing w:before="29" w:line="278" w:lineRule="exact"/>
        <w:jc w:val="both"/>
        <w:rPr>
          <w:color w:val="000000"/>
          <w:sz w:val="22"/>
          <w:szCs w:val="22"/>
          <w:lang w:val="bg-BG" w:eastAsia="bg-BG"/>
        </w:rPr>
      </w:pPr>
    </w:p>
    <w:p w:rsidR="005A10AB" w:rsidRPr="005A10AB" w:rsidRDefault="005A10AB" w:rsidP="005A10AB">
      <w:pPr>
        <w:autoSpaceDE w:val="0"/>
        <w:autoSpaceDN w:val="0"/>
        <w:adjustRightInd w:val="0"/>
        <w:spacing w:before="29" w:line="278" w:lineRule="exact"/>
        <w:jc w:val="both"/>
        <w:rPr>
          <w:b/>
          <w:color w:val="000000"/>
          <w:sz w:val="22"/>
          <w:szCs w:val="22"/>
          <w:lang w:val="bg-BG" w:eastAsia="bg-BG"/>
        </w:rPr>
      </w:pPr>
      <w:r w:rsidRPr="005A10AB">
        <w:rPr>
          <w:b/>
          <w:color w:val="000000"/>
          <w:sz w:val="22"/>
          <w:szCs w:val="22"/>
          <w:lang w:val="bg-BG" w:eastAsia="bg-BG"/>
        </w:rPr>
        <w:t>Неразделна част от настоящите указания са:</w:t>
      </w:r>
    </w:p>
    <w:p w:rsidR="005A10AB" w:rsidRPr="005A10AB" w:rsidRDefault="005A10AB" w:rsidP="005A10AB">
      <w:pPr>
        <w:autoSpaceDE w:val="0"/>
        <w:autoSpaceDN w:val="0"/>
        <w:adjustRightInd w:val="0"/>
        <w:spacing w:before="29" w:line="278" w:lineRule="exact"/>
        <w:jc w:val="both"/>
        <w:rPr>
          <w:color w:val="000000"/>
          <w:sz w:val="22"/>
          <w:szCs w:val="22"/>
          <w:lang w:val="bg-BG" w:eastAsia="bg-BG"/>
        </w:rPr>
      </w:pPr>
    </w:p>
    <w:p w:rsidR="005A10AB" w:rsidRPr="005A10AB" w:rsidRDefault="005A10AB" w:rsidP="005A10AB">
      <w:pPr>
        <w:widowControl w:val="0"/>
        <w:numPr>
          <w:ilvl w:val="0"/>
          <w:numId w:val="12"/>
        </w:numPr>
        <w:autoSpaceDE w:val="0"/>
        <w:autoSpaceDN w:val="0"/>
        <w:adjustRightInd w:val="0"/>
        <w:spacing w:before="29" w:after="200" w:line="278" w:lineRule="exact"/>
        <w:jc w:val="both"/>
        <w:rPr>
          <w:color w:val="000000"/>
          <w:sz w:val="22"/>
          <w:szCs w:val="22"/>
          <w:lang w:val="bg-BG" w:eastAsia="bg-BG"/>
        </w:rPr>
      </w:pPr>
      <w:r w:rsidRPr="005A10AB">
        <w:rPr>
          <w:b/>
          <w:color w:val="000000"/>
          <w:sz w:val="22"/>
          <w:szCs w:val="22"/>
          <w:lang w:val="bg-BG" w:eastAsia="bg-BG"/>
        </w:rPr>
        <w:t>Приложение № 1</w:t>
      </w:r>
      <w:r w:rsidRPr="005A10AB">
        <w:rPr>
          <w:color w:val="000000"/>
          <w:sz w:val="22"/>
          <w:szCs w:val="22"/>
          <w:lang w:val="bg-BG" w:eastAsia="bg-BG"/>
        </w:rPr>
        <w:t xml:space="preserve"> – </w:t>
      </w:r>
      <w:r w:rsidRPr="005A10AB">
        <w:rPr>
          <w:i/>
          <w:color w:val="000000"/>
          <w:sz w:val="22"/>
          <w:szCs w:val="22"/>
          <w:lang w:val="bg-BG" w:eastAsia="bg-BG"/>
        </w:rPr>
        <w:t>Указания за изготвяне на анализ на необходимост от изграждане на допълнителна инфраструктура</w:t>
      </w:r>
      <w:r w:rsidRPr="005A10AB">
        <w:rPr>
          <w:color w:val="000000"/>
          <w:sz w:val="22"/>
          <w:szCs w:val="22"/>
          <w:lang w:val="bg-BG" w:eastAsia="bg-BG"/>
        </w:rPr>
        <w:t>;</w:t>
      </w:r>
    </w:p>
    <w:p w:rsidR="005A10AB" w:rsidRPr="005A10AB" w:rsidRDefault="005A10AB" w:rsidP="005A10AB">
      <w:pPr>
        <w:widowControl w:val="0"/>
        <w:numPr>
          <w:ilvl w:val="0"/>
          <w:numId w:val="12"/>
        </w:numPr>
        <w:autoSpaceDE w:val="0"/>
        <w:autoSpaceDN w:val="0"/>
        <w:adjustRightInd w:val="0"/>
        <w:spacing w:before="29" w:after="200" w:line="278" w:lineRule="exact"/>
        <w:jc w:val="both"/>
        <w:rPr>
          <w:color w:val="000000"/>
          <w:sz w:val="22"/>
          <w:szCs w:val="22"/>
          <w:lang w:val="bg-BG" w:eastAsia="bg-BG"/>
        </w:rPr>
      </w:pPr>
      <w:r w:rsidRPr="005A10AB">
        <w:rPr>
          <w:b/>
          <w:color w:val="000000"/>
          <w:sz w:val="22"/>
          <w:szCs w:val="22"/>
          <w:lang w:val="bg-BG" w:eastAsia="bg-BG"/>
        </w:rPr>
        <w:t>Приложение № 2</w:t>
      </w:r>
      <w:r w:rsidRPr="005A10AB">
        <w:rPr>
          <w:color w:val="000000"/>
          <w:sz w:val="22"/>
          <w:szCs w:val="22"/>
          <w:lang w:val="bg-BG" w:eastAsia="bg-BG"/>
        </w:rPr>
        <w:t xml:space="preserve"> с таблици:</w:t>
      </w:r>
    </w:p>
    <w:p w:rsidR="005A10AB" w:rsidRPr="005A10AB" w:rsidRDefault="005A10AB" w:rsidP="005A10AB">
      <w:pPr>
        <w:widowControl w:val="0"/>
        <w:numPr>
          <w:ilvl w:val="1"/>
          <w:numId w:val="12"/>
        </w:numPr>
        <w:autoSpaceDE w:val="0"/>
        <w:autoSpaceDN w:val="0"/>
        <w:adjustRightInd w:val="0"/>
        <w:spacing w:before="29" w:after="200" w:line="278" w:lineRule="exact"/>
        <w:jc w:val="both"/>
        <w:rPr>
          <w:color w:val="000000"/>
          <w:sz w:val="22"/>
          <w:szCs w:val="22"/>
          <w:lang w:val="bg-BG" w:eastAsia="bg-BG"/>
        </w:rPr>
      </w:pPr>
      <w:r w:rsidRPr="005A10AB">
        <w:rPr>
          <w:color w:val="000000"/>
          <w:sz w:val="22"/>
          <w:szCs w:val="22"/>
          <w:lang w:val="bg-BG" w:eastAsia="bg-BG"/>
        </w:rPr>
        <w:t xml:space="preserve">Таблица № 1 – за оценка на подходи с </w:t>
      </w:r>
      <w:proofErr w:type="spellStart"/>
      <w:r w:rsidRPr="005A10AB">
        <w:rPr>
          <w:color w:val="000000"/>
          <w:sz w:val="22"/>
          <w:szCs w:val="22"/>
          <w:lang w:val="bg-BG" w:eastAsia="bg-BG"/>
        </w:rPr>
        <w:t>компостиращи</w:t>
      </w:r>
      <w:proofErr w:type="spellEnd"/>
      <w:r w:rsidRPr="005A10AB">
        <w:rPr>
          <w:color w:val="000000"/>
          <w:sz w:val="22"/>
          <w:szCs w:val="22"/>
          <w:lang w:val="bg-BG" w:eastAsia="bg-BG"/>
        </w:rPr>
        <w:t xml:space="preserve"> инсталации;</w:t>
      </w:r>
    </w:p>
    <w:p w:rsidR="005A10AB" w:rsidRPr="005A10AB" w:rsidRDefault="005A10AB" w:rsidP="005A10AB">
      <w:pPr>
        <w:widowControl w:val="0"/>
        <w:numPr>
          <w:ilvl w:val="1"/>
          <w:numId w:val="12"/>
        </w:numPr>
        <w:autoSpaceDE w:val="0"/>
        <w:autoSpaceDN w:val="0"/>
        <w:adjustRightInd w:val="0"/>
        <w:spacing w:before="29" w:after="200" w:line="278" w:lineRule="exact"/>
        <w:jc w:val="both"/>
        <w:rPr>
          <w:color w:val="000000"/>
          <w:sz w:val="22"/>
          <w:szCs w:val="22"/>
          <w:lang w:val="bg-BG" w:eastAsia="bg-BG"/>
        </w:rPr>
      </w:pPr>
      <w:r w:rsidRPr="005A10AB">
        <w:rPr>
          <w:color w:val="000000"/>
          <w:sz w:val="22"/>
          <w:szCs w:val="22"/>
          <w:lang w:val="bg-BG" w:eastAsia="bg-BG"/>
        </w:rPr>
        <w:t>Таблица № 2 – за оценка на подходи с инсталации за предварително третиране;</w:t>
      </w:r>
    </w:p>
    <w:p w:rsidR="005A10AB" w:rsidRPr="005A10AB" w:rsidRDefault="005A10AB" w:rsidP="005A10AB">
      <w:pPr>
        <w:widowControl w:val="0"/>
        <w:numPr>
          <w:ilvl w:val="1"/>
          <w:numId w:val="12"/>
        </w:numPr>
        <w:autoSpaceDE w:val="0"/>
        <w:autoSpaceDN w:val="0"/>
        <w:adjustRightInd w:val="0"/>
        <w:spacing w:before="29" w:after="200" w:line="278" w:lineRule="exact"/>
        <w:jc w:val="both"/>
        <w:rPr>
          <w:color w:val="000000"/>
          <w:sz w:val="22"/>
          <w:szCs w:val="22"/>
          <w:lang w:val="bg-BG" w:eastAsia="bg-BG"/>
        </w:rPr>
      </w:pPr>
      <w:r w:rsidRPr="005A10AB">
        <w:rPr>
          <w:color w:val="000000"/>
          <w:sz w:val="22"/>
          <w:szCs w:val="22"/>
          <w:lang w:val="bg-BG" w:eastAsia="bg-BG"/>
        </w:rPr>
        <w:t xml:space="preserve">Таблица № 1а – с </w:t>
      </w:r>
      <w:proofErr w:type="spellStart"/>
      <w:r w:rsidRPr="005A10AB">
        <w:rPr>
          <w:color w:val="000000"/>
          <w:sz w:val="22"/>
          <w:szCs w:val="22"/>
          <w:lang w:val="bg-BG" w:eastAsia="bg-BG"/>
        </w:rPr>
        <w:t>окрупнени</w:t>
      </w:r>
      <w:proofErr w:type="spellEnd"/>
      <w:r w:rsidRPr="005A10AB">
        <w:rPr>
          <w:color w:val="000000"/>
          <w:sz w:val="22"/>
          <w:szCs w:val="22"/>
          <w:lang w:val="bg-BG" w:eastAsia="bg-BG"/>
        </w:rPr>
        <w:t xml:space="preserve"> стойности за изграждане на </w:t>
      </w:r>
      <w:proofErr w:type="spellStart"/>
      <w:r w:rsidRPr="005A10AB">
        <w:rPr>
          <w:color w:val="000000"/>
          <w:sz w:val="22"/>
          <w:szCs w:val="22"/>
          <w:lang w:val="bg-BG" w:eastAsia="bg-BG"/>
        </w:rPr>
        <w:t>компостиращи</w:t>
      </w:r>
      <w:proofErr w:type="spellEnd"/>
      <w:r w:rsidRPr="005A10AB">
        <w:rPr>
          <w:color w:val="000000"/>
          <w:sz w:val="22"/>
          <w:szCs w:val="22"/>
          <w:lang w:val="bg-BG" w:eastAsia="bg-BG"/>
        </w:rPr>
        <w:t xml:space="preserve"> инсталации;</w:t>
      </w:r>
    </w:p>
    <w:p w:rsidR="005A10AB" w:rsidRPr="005A10AB" w:rsidRDefault="005A10AB" w:rsidP="005A10AB">
      <w:pPr>
        <w:widowControl w:val="0"/>
        <w:numPr>
          <w:ilvl w:val="1"/>
          <w:numId w:val="12"/>
        </w:numPr>
        <w:autoSpaceDE w:val="0"/>
        <w:autoSpaceDN w:val="0"/>
        <w:adjustRightInd w:val="0"/>
        <w:spacing w:before="29" w:after="200" w:line="278" w:lineRule="exact"/>
        <w:jc w:val="both"/>
        <w:rPr>
          <w:color w:val="000000"/>
          <w:sz w:val="22"/>
          <w:szCs w:val="22"/>
          <w:lang w:val="bg-BG" w:eastAsia="bg-BG"/>
        </w:rPr>
      </w:pPr>
      <w:r w:rsidRPr="005A10AB">
        <w:rPr>
          <w:color w:val="000000"/>
          <w:sz w:val="22"/>
          <w:szCs w:val="22"/>
          <w:lang w:val="bg-BG" w:eastAsia="bg-BG"/>
        </w:rPr>
        <w:t xml:space="preserve">Таблица № 2а – с </w:t>
      </w:r>
      <w:proofErr w:type="spellStart"/>
      <w:r w:rsidRPr="005A10AB">
        <w:rPr>
          <w:color w:val="000000"/>
          <w:sz w:val="22"/>
          <w:szCs w:val="22"/>
          <w:lang w:val="bg-BG" w:eastAsia="bg-BG"/>
        </w:rPr>
        <w:t>окрупнени</w:t>
      </w:r>
      <w:proofErr w:type="spellEnd"/>
      <w:r w:rsidRPr="005A10AB">
        <w:rPr>
          <w:color w:val="000000"/>
          <w:sz w:val="22"/>
          <w:szCs w:val="22"/>
          <w:lang w:val="bg-BG" w:eastAsia="bg-BG"/>
        </w:rPr>
        <w:t xml:space="preserve"> стойности за изграждане на инсталации за предварително третиране;</w:t>
      </w:r>
    </w:p>
    <w:p w:rsidR="005A10AB" w:rsidRPr="005A10AB" w:rsidRDefault="005A10AB" w:rsidP="005A10AB">
      <w:pPr>
        <w:widowControl w:val="0"/>
        <w:numPr>
          <w:ilvl w:val="1"/>
          <w:numId w:val="12"/>
        </w:numPr>
        <w:autoSpaceDE w:val="0"/>
        <w:autoSpaceDN w:val="0"/>
        <w:adjustRightInd w:val="0"/>
        <w:spacing w:before="29" w:after="200" w:line="278" w:lineRule="exact"/>
        <w:jc w:val="both"/>
        <w:rPr>
          <w:color w:val="000000"/>
          <w:sz w:val="22"/>
          <w:szCs w:val="22"/>
          <w:lang w:val="bg-BG" w:eastAsia="bg-BG"/>
        </w:rPr>
      </w:pPr>
      <w:r w:rsidRPr="005A10AB">
        <w:rPr>
          <w:color w:val="000000"/>
          <w:sz w:val="22"/>
          <w:szCs w:val="22"/>
          <w:lang w:val="bg-BG" w:eastAsia="bg-BG"/>
        </w:rPr>
        <w:t>Таблица № 3 – със стойности в лева на километър на емисиите CO2 по години;</w:t>
      </w:r>
    </w:p>
    <w:p w:rsidR="005A10AB" w:rsidRPr="005A10AB" w:rsidRDefault="005A10AB" w:rsidP="005A10AB">
      <w:pPr>
        <w:widowControl w:val="0"/>
        <w:numPr>
          <w:ilvl w:val="1"/>
          <w:numId w:val="12"/>
        </w:numPr>
        <w:autoSpaceDE w:val="0"/>
        <w:autoSpaceDN w:val="0"/>
        <w:adjustRightInd w:val="0"/>
        <w:spacing w:before="29" w:after="200" w:line="278" w:lineRule="exact"/>
        <w:jc w:val="both"/>
        <w:rPr>
          <w:color w:val="000000"/>
          <w:sz w:val="22"/>
          <w:szCs w:val="22"/>
          <w:lang w:val="bg-BG" w:eastAsia="bg-BG"/>
        </w:rPr>
      </w:pPr>
      <w:r w:rsidRPr="005A10AB">
        <w:rPr>
          <w:color w:val="000000"/>
          <w:sz w:val="22"/>
          <w:szCs w:val="22"/>
          <w:lang w:val="bg-BG" w:eastAsia="bg-BG"/>
        </w:rPr>
        <w:t>Таблица № 4 -  с разходи, свързани с шумови емисии от пътния транспорт – България;</w:t>
      </w:r>
    </w:p>
    <w:p w:rsidR="005A10AB" w:rsidRPr="005A10AB" w:rsidRDefault="005A10AB" w:rsidP="005A10AB">
      <w:pPr>
        <w:widowControl w:val="0"/>
        <w:numPr>
          <w:ilvl w:val="1"/>
          <w:numId w:val="12"/>
        </w:numPr>
        <w:autoSpaceDE w:val="0"/>
        <w:autoSpaceDN w:val="0"/>
        <w:adjustRightInd w:val="0"/>
        <w:spacing w:before="29" w:after="200" w:line="278" w:lineRule="exact"/>
        <w:jc w:val="both"/>
        <w:rPr>
          <w:color w:val="000000"/>
          <w:sz w:val="22"/>
          <w:szCs w:val="22"/>
          <w:lang w:val="bg-BG" w:eastAsia="bg-BG"/>
        </w:rPr>
      </w:pPr>
      <w:r w:rsidRPr="005A10AB">
        <w:rPr>
          <w:color w:val="000000"/>
          <w:sz w:val="22"/>
          <w:szCs w:val="22"/>
          <w:lang w:val="bg-BG" w:eastAsia="bg-BG"/>
        </w:rPr>
        <w:t>Таблица № 5 – към риск-матрица.</w:t>
      </w:r>
    </w:p>
    <w:p w:rsidR="0047500E" w:rsidRPr="00A06CC3" w:rsidRDefault="0047500E" w:rsidP="005A10AB">
      <w:pPr>
        <w:rPr>
          <w:b/>
          <w:color w:val="000000"/>
          <w:sz w:val="40"/>
          <w:szCs w:val="40"/>
          <w:lang w:val="bg-BG"/>
        </w:rPr>
      </w:pPr>
    </w:p>
    <w:sectPr w:rsidR="0047500E" w:rsidRPr="00A06CC3" w:rsidSect="00521929">
      <w:footerReference w:type="default" r:id="rId14"/>
      <w:pgSz w:w="11906" w:h="16838"/>
      <w:pgMar w:top="1418" w:right="991" w:bottom="851" w:left="1260" w:header="709"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33" w:rsidRDefault="000B1033">
      <w:r>
        <w:separator/>
      </w:r>
    </w:p>
  </w:endnote>
  <w:endnote w:type="continuationSeparator" w:id="0">
    <w:p w:rsidR="000B1033" w:rsidRDefault="000B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57541"/>
      <w:docPartObj>
        <w:docPartGallery w:val="Page Numbers (Bottom of Page)"/>
        <w:docPartUnique/>
      </w:docPartObj>
    </w:sdtPr>
    <w:sdtEndPr>
      <w:rPr>
        <w:noProof/>
      </w:rPr>
    </w:sdtEndPr>
    <w:sdtContent>
      <w:p w:rsidR="00521929" w:rsidRDefault="00521929">
        <w:pPr>
          <w:pStyle w:val="Footer"/>
          <w:jc w:val="right"/>
        </w:pPr>
        <w:r>
          <w:fldChar w:fldCharType="begin"/>
        </w:r>
        <w:r>
          <w:instrText xml:space="preserve"> PAGE   \* MERGEFORMAT </w:instrText>
        </w:r>
        <w:r>
          <w:fldChar w:fldCharType="separate"/>
        </w:r>
        <w:r w:rsidR="00A30B51">
          <w:rPr>
            <w:noProof/>
          </w:rPr>
          <w:t>13</w:t>
        </w:r>
        <w:r>
          <w:rPr>
            <w:noProof/>
          </w:rPr>
          <w:fldChar w:fldCharType="end"/>
        </w:r>
      </w:p>
    </w:sdtContent>
  </w:sdt>
  <w:p w:rsidR="00521929" w:rsidRDefault="00521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33" w:rsidRDefault="000B1033">
      <w:r>
        <w:separator/>
      </w:r>
    </w:p>
  </w:footnote>
  <w:footnote w:type="continuationSeparator" w:id="0">
    <w:p w:rsidR="000B1033" w:rsidRDefault="000B1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861"/>
    <w:multiLevelType w:val="hybridMultilevel"/>
    <w:tmpl w:val="43162ED6"/>
    <w:lvl w:ilvl="0" w:tplc="AE9E8206">
      <w:start w:val="7"/>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44BA4"/>
    <w:multiLevelType w:val="multilevel"/>
    <w:tmpl w:val="6B8A06A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B2E798E"/>
    <w:multiLevelType w:val="hybridMultilevel"/>
    <w:tmpl w:val="EEE43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2191"/>
    <w:multiLevelType w:val="hybridMultilevel"/>
    <w:tmpl w:val="78164A78"/>
    <w:lvl w:ilvl="0" w:tplc="95EAD0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EF252FD"/>
    <w:multiLevelType w:val="hybridMultilevel"/>
    <w:tmpl w:val="D14E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B5E3A"/>
    <w:multiLevelType w:val="hybridMultilevel"/>
    <w:tmpl w:val="47B8EFE4"/>
    <w:lvl w:ilvl="0" w:tplc="C67E87C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48CA3351"/>
    <w:multiLevelType w:val="hybridMultilevel"/>
    <w:tmpl w:val="90E63388"/>
    <w:lvl w:ilvl="0" w:tplc="47145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3E55B8"/>
    <w:multiLevelType w:val="multilevel"/>
    <w:tmpl w:val="85D49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8C371A6"/>
    <w:multiLevelType w:val="hybridMultilevel"/>
    <w:tmpl w:val="968A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A265C"/>
    <w:multiLevelType w:val="hybridMultilevel"/>
    <w:tmpl w:val="6F404C5C"/>
    <w:lvl w:ilvl="0" w:tplc="FC1C4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820B81"/>
    <w:multiLevelType w:val="hybridMultilevel"/>
    <w:tmpl w:val="7E760A4C"/>
    <w:lvl w:ilvl="0" w:tplc="AE9E8206">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616EE8"/>
    <w:multiLevelType w:val="hybridMultilevel"/>
    <w:tmpl w:val="2D1A85E6"/>
    <w:lvl w:ilvl="0" w:tplc="E47E6B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2"/>
  </w:num>
  <w:num w:numId="6">
    <w:abstractNumId w:val="7"/>
  </w:num>
  <w:num w:numId="7">
    <w:abstractNumId w:val="9"/>
  </w:num>
  <w:num w:numId="8">
    <w:abstractNumId w:val="10"/>
  </w:num>
  <w:num w:numId="9">
    <w:abstractNumId w:val="11"/>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60"/>
    <w:rsid w:val="00015F17"/>
    <w:rsid w:val="00024E0B"/>
    <w:rsid w:val="00031E33"/>
    <w:rsid w:val="00043F36"/>
    <w:rsid w:val="0005309E"/>
    <w:rsid w:val="0006141F"/>
    <w:rsid w:val="000675EA"/>
    <w:rsid w:val="00073EF0"/>
    <w:rsid w:val="0009037D"/>
    <w:rsid w:val="00091935"/>
    <w:rsid w:val="00092C23"/>
    <w:rsid w:val="000A1196"/>
    <w:rsid w:val="000B1033"/>
    <w:rsid w:val="000B3F08"/>
    <w:rsid w:val="000C4107"/>
    <w:rsid w:val="000C5DF9"/>
    <w:rsid w:val="000D173D"/>
    <w:rsid w:val="000E1C15"/>
    <w:rsid w:val="000F64DB"/>
    <w:rsid w:val="0010536F"/>
    <w:rsid w:val="0011067A"/>
    <w:rsid w:val="001124A5"/>
    <w:rsid w:val="00121E6E"/>
    <w:rsid w:val="001235BA"/>
    <w:rsid w:val="0013167F"/>
    <w:rsid w:val="001506F7"/>
    <w:rsid w:val="0015078D"/>
    <w:rsid w:val="00151FBF"/>
    <w:rsid w:val="0015324F"/>
    <w:rsid w:val="001578A2"/>
    <w:rsid w:val="0016282D"/>
    <w:rsid w:val="00180AB3"/>
    <w:rsid w:val="00180BDD"/>
    <w:rsid w:val="00180E0E"/>
    <w:rsid w:val="001817BE"/>
    <w:rsid w:val="00183361"/>
    <w:rsid w:val="00183AC0"/>
    <w:rsid w:val="00183CA6"/>
    <w:rsid w:val="00184262"/>
    <w:rsid w:val="0018683B"/>
    <w:rsid w:val="001B5FDD"/>
    <w:rsid w:val="001C7400"/>
    <w:rsid w:val="001D37D1"/>
    <w:rsid w:val="001D7EA6"/>
    <w:rsid w:val="001F76F5"/>
    <w:rsid w:val="00207791"/>
    <w:rsid w:val="002119A5"/>
    <w:rsid w:val="00212462"/>
    <w:rsid w:val="00213DC0"/>
    <w:rsid w:val="0021603B"/>
    <w:rsid w:val="00222028"/>
    <w:rsid w:val="00223BA4"/>
    <w:rsid w:val="00227663"/>
    <w:rsid w:val="002370CC"/>
    <w:rsid w:val="00240A47"/>
    <w:rsid w:val="00251AEC"/>
    <w:rsid w:val="00261D3F"/>
    <w:rsid w:val="00264F27"/>
    <w:rsid w:val="002668A8"/>
    <w:rsid w:val="002937A8"/>
    <w:rsid w:val="002B09E0"/>
    <w:rsid w:val="002C3406"/>
    <w:rsid w:val="002C6565"/>
    <w:rsid w:val="002C6E24"/>
    <w:rsid w:val="002D14E2"/>
    <w:rsid w:val="002D79D6"/>
    <w:rsid w:val="002E1E79"/>
    <w:rsid w:val="002E246C"/>
    <w:rsid w:val="002E4120"/>
    <w:rsid w:val="002E7BE4"/>
    <w:rsid w:val="002F6568"/>
    <w:rsid w:val="002F661A"/>
    <w:rsid w:val="00306AC1"/>
    <w:rsid w:val="0031671A"/>
    <w:rsid w:val="003168F4"/>
    <w:rsid w:val="00320EA9"/>
    <w:rsid w:val="00333497"/>
    <w:rsid w:val="003447EC"/>
    <w:rsid w:val="0035474F"/>
    <w:rsid w:val="00363A0F"/>
    <w:rsid w:val="00364F6E"/>
    <w:rsid w:val="003847DF"/>
    <w:rsid w:val="0038617F"/>
    <w:rsid w:val="003912B4"/>
    <w:rsid w:val="003925D6"/>
    <w:rsid w:val="003A002C"/>
    <w:rsid w:val="003A5B45"/>
    <w:rsid w:val="003A7D6C"/>
    <w:rsid w:val="003B024E"/>
    <w:rsid w:val="003B0D0C"/>
    <w:rsid w:val="003D53AD"/>
    <w:rsid w:val="003E00AF"/>
    <w:rsid w:val="004054C8"/>
    <w:rsid w:val="00410721"/>
    <w:rsid w:val="0043315E"/>
    <w:rsid w:val="0043387E"/>
    <w:rsid w:val="0043698F"/>
    <w:rsid w:val="00445BCE"/>
    <w:rsid w:val="00462AEB"/>
    <w:rsid w:val="00465C95"/>
    <w:rsid w:val="00467509"/>
    <w:rsid w:val="004728E4"/>
    <w:rsid w:val="00472D38"/>
    <w:rsid w:val="00474F9F"/>
    <w:rsid w:val="0047500E"/>
    <w:rsid w:val="00475F4E"/>
    <w:rsid w:val="00487F42"/>
    <w:rsid w:val="00490014"/>
    <w:rsid w:val="0049202D"/>
    <w:rsid w:val="0049253E"/>
    <w:rsid w:val="004B21C2"/>
    <w:rsid w:val="004B2AF2"/>
    <w:rsid w:val="004B3820"/>
    <w:rsid w:val="004B4368"/>
    <w:rsid w:val="004B5AB8"/>
    <w:rsid w:val="004B6128"/>
    <w:rsid w:val="004C23A2"/>
    <w:rsid w:val="004C7EF3"/>
    <w:rsid w:val="004D0872"/>
    <w:rsid w:val="004D26A3"/>
    <w:rsid w:val="004D72E0"/>
    <w:rsid w:val="004D77A9"/>
    <w:rsid w:val="004E0A6A"/>
    <w:rsid w:val="004E5808"/>
    <w:rsid w:val="004F2E97"/>
    <w:rsid w:val="004F47FD"/>
    <w:rsid w:val="005018A0"/>
    <w:rsid w:val="00502A43"/>
    <w:rsid w:val="005047A1"/>
    <w:rsid w:val="00513C33"/>
    <w:rsid w:val="00521929"/>
    <w:rsid w:val="00526423"/>
    <w:rsid w:val="005339C2"/>
    <w:rsid w:val="005346F7"/>
    <w:rsid w:val="005365C8"/>
    <w:rsid w:val="005522C6"/>
    <w:rsid w:val="00553EEF"/>
    <w:rsid w:val="00554ACF"/>
    <w:rsid w:val="00557467"/>
    <w:rsid w:val="00563F3B"/>
    <w:rsid w:val="00572CE4"/>
    <w:rsid w:val="00581B38"/>
    <w:rsid w:val="00587615"/>
    <w:rsid w:val="005952BC"/>
    <w:rsid w:val="00595532"/>
    <w:rsid w:val="00596EB3"/>
    <w:rsid w:val="0059782B"/>
    <w:rsid w:val="005A0C8B"/>
    <w:rsid w:val="005A10AB"/>
    <w:rsid w:val="005A2D6A"/>
    <w:rsid w:val="005A3F75"/>
    <w:rsid w:val="005A5F22"/>
    <w:rsid w:val="005B2B78"/>
    <w:rsid w:val="005C1A35"/>
    <w:rsid w:val="005D0E34"/>
    <w:rsid w:val="005D4DD6"/>
    <w:rsid w:val="005D587D"/>
    <w:rsid w:val="005E0781"/>
    <w:rsid w:val="005E7756"/>
    <w:rsid w:val="005F2078"/>
    <w:rsid w:val="005F6D43"/>
    <w:rsid w:val="005F7A0C"/>
    <w:rsid w:val="0060325C"/>
    <w:rsid w:val="0062307D"/>
    <w:rsid w:val="00623CAD"/>
    <w:rsid w:val="0064478C"/>
    <w:rsid w:val="0065442E"/>
    <w:rsid w:val="006675B7"/>
    <w:rsid w:val="006778B8"/>
    <w:rsid w:val="00684246"/>
    <w:rsid w:val="006B48BF"/>
    <w:rsid w:val="006C1475"/>
    <w:rsid w:val="006C4C60"/>
    <w:rsid w:val="006C7AE1"/>
    <w:rsid w:val="006D43C8"/>
    <w:rsid w:val="006E39A2"/>
    <w:rsid w:val="006E5819"/>
    <w:rsid w:val="006E732E"/>
    <w:rsid w:val="006F207B"/>
    <w:rsid w:val="006F2669"/>
    <w:rsid w:val="006F4E2B"/>
    <w:rsid w:val="00712727"/>
    <w:rsid w:val="00727069"/>
    <w:rsid w:val="007303D4"/>
    <w:rsid w:val="00733C4B"/>
    <w:rsid w:val="00746FD7"/>
    <w:rsid w:val="007529B5"/>
    <w:rsid w:val="00762D33"/>
    <w:rsid w:val="00770CF1"/>
    <w:rsid w:val="007713B3"/>
    <w:rsid w:val="00771D48"/>
    <w:rsid w:val="00782378"/>
    <w:rsid w:val="00782730"/>
    <w:rsid w:val="00783E79"/>
    <w:rsid w:val="0079293C"/>
    <w:rsid w:val="007951A3"/>
    <w:rsid w:val="007A23D8"/>
    <w:rsid w:val="007B77BC"/>
    <w:rsid w:val="007C0882"/>
    <w:rsid w:val="007C16CD"/>
    <w:rsid w:val="007C18A4"/>
    <w:rsid w:val="007C4771"/>
    <w:rsid w:val="007C49C0"/>
    <w:rsid w:val="007D2D09"/>
    <w:rsid w:val="007E6153"/>
    <w:rsid w:val="007F274A"/>
    <w:rsid w:val="007F74A9"/>
    <w:rsid w:val="008036C2"/>
    <w:rsid w:val="008148F4"/>
    <w:rsid w:val="00816EBB"/>
    <w:rsid w:val="00816FA8"/>
    <w:rsid w:val="00817CB5"/>
    <w:rsid w:val="00830940"/>
    <w:rsid w:val="00833DF5"/>
    <w:rsid w:val="00837206"/>
    <w:rsid w:val="00846DA7"/>
    <w:rsid w:val="00854690"/>
    <w:rsid w:val="008669C0"/>
    <w:rsid w:val="00871605"/>
    <w:rsid w:val="00880DEB"/>
    <w:rsid w:val="008B43D9"/>
    <w:rsid w:val="008B7B19"/>
    <w:rsid w:val="008C54FB"/>
    <w:rsid w:val="008D3570"/>
    <w:rsid w:val="008D5115"/>
    <w:rsid w:val="008E0079"/>
    <w:rsid w:val="008E0D20"/>
    <w:rsid w:val="008E614B"/>
    <w:rsid w:val="008F1214"/>
    <w:rsid w:val="008F2B01"/>
    <w:rsid w:val="008F4C37"/>
    <w:rsid w:val="008F6C18"/>
    <w:rsid w:val="00904ACC"/>
    <w:rsid w:val="00911794"/>
    <w:rsid w:val="00912C7D"/>
    <w:rsid w:val="009154A1"/>
    <w:rsid w:val="0092090D"/>
    <w:rsid w:val="00921114"/>
    <w:rsid w:val="00945C68"/>
    <w:rsid w:val="00946914"/>
    <w:rsid w:val="009477A5"/>
    <w:rsid w:val="00951FDA"/>
    <w:rsid w:val="00953302"/>
    <w:rsid w:val="00957151"/>
    <w:rsid w:val="00960B4E"/>
    <w:rsid w:val="00961AF2"/>
    <w:rsid w:val="00964AF6"/>
    <w:rsid w:val="00971A33"/>
    <w:rsid w:val="00990DFE"/>
    <w:rsid w:val="00995268"/>
    <w:rsid w:val="009A2D9A"/>
    <w:rsid w:val="009A681F"/>
    <w:rsid w:val="009B4C1C"/>
    <w:rsid w:val="009E1DE3"/>
    <w:rsid w:val="009E74DD"/>
    <w:rsid w:val="009F1B50"/>
    <w:rsid w:val="009F1C74"/>
    <w:rsid w:val="00A00950"/>
    <w:rsid w:val="00A018A6"/>
    <w:rsid w:val="00A0333F"/>
    <w:rsid w:val="00A048BB"/>
    <w:rsid w:val="00A06CC3"/>
    <w:rsid w:val="00A26A91"/>
    <w:rsid w:val="00A30B51"/>
    <w:rsid w:val="00A37AE6"/>
    <w:rsid w:val="00A420A1"/>
    <w:rsid w:val="00A4458E"/>
    <w:rsid w:val="00A91D71"/>
    <w:rsid w:val="00AB09E2"/>
    <w:rsid w:val="00AB2B8F"/>
    <w:rsid w:val="00AC6E65"/>
    <w:rsid w:val="00AD0BBE"/>
    <w:rsid w:val="00AE2973"/>
    <w:rsid w:val="00B1289F"/>
    <w:rsid w:val="00B2121B"/>
    <w:rsid w:val="00B34C2B"/>
    <w:rsid w:val="00B35C79"/>
    <w:rsid w:val="00B46CA9"/>
    <w:rsid w:val="00B51595"/>
    <w:rsid w:val="00B53A26"/>
    <w:rsid w:val="00B71690"/>
    <w:rsid w:val="00B7316B"/>
    <w:rsid w:val="00B87DC9"/>
    <w:rsid w:val="00B92096"/>
    <w:rsid w:val="00B92325"/>
    <w:rsid w:val="00B93D5A"/>
    <w:rsid w:val="00BA47BB"/>
    <w:rsid w:val="00BB329E"/>
    <w:rsid w:val="00BC040F"/>
    <w:rsid w:val="00BC0F59"/>
    <w:rsid w:val="00BC4FB1"/>
    <w:rsid w:val="00BC5C99"/>
    <w:rsid w:val="00BD3493"/>
    <w:rsid w:val="00BD7A0D"/>
    <w:rsid w:val="00BE3A7A"/>
    <w:rsid w:val="00BE622F"/>
    <w:rsid w:val="00BE653E"/>
    <w:rsid w:val="00BE6EF5"/>
    <w:rsid w:val="00BF2BAB"/>
    <w:rsid w:val="00BF71B3"/>
    <w:rsid w:val="00C07A55"/>
    <w:rsid w:val="00C16965"/>
    <w:rsid w:val="00C21936"/>
    <w:rsid w:val="00C46163"/>
    <w:rsid w:val="00C5686E"/>
    <w:rsid w:val="00C56DB2"/>
    <w:rsid w:val="00C6255E"/>
    <w:rsid w:val="00C632CB"/>
    <w:rsid w:val="00C90F99"/>
    <w:rsid w:val="00CB268B"/>
    <w:rsid w:val="00CC1FC4"/>
    <w:rsid w:val="00CC4F66"/>
    <w:rsid w:val="00CD4329"/>
    <w:rsid w:val="00CE3042"/>
    <w:rsid w:val="00CE5437"/>
    <w:rsid w:val="00CE6026"/>
    <w:rsid w:val="00CF33DE"/>
    <w:rsid w:val="00D03D5A"/>
    <w:rsid w:val="00D1220F"/>
    <w:rsid w:val="00D1260A"/>
    <w:rsid w:val="00D1283C"/>
    <w:rsid w:val="00D12B21"/>
    <w:rsid w:val="00D27CBC"/>
    <w:rsid w:val="00D305E1"/>
    <w:rsid w:val="00D3077D"/>
    <w:rsid w:val="00D31B2A"/>
    <w:rsid w:val="00D36542"/>
    <w:rsid w:val="00D36BC2"/>
    <w:rsid w:val="00D43067"/>
    <w:rsid w:val="00D602E3"/>
    <w:rsid w:val="00D609AC"/>
    <w:rsid w:val="00D611A7"/>
    <w:rsid w:val="00D81B27"/>
    <w:rsid w:val="00D865AE"/>
    <w:rsid w:val="00D8792F"/>
    <w:rsid w:val="00D938E8"/>
    <w:rsid w:val="00DA13D4"/>
    <w:rsid w:val="00DA2BB7"/>
    <w:rsid w:val="00DA5617"/>
    <w:rsid w:val="00DB1EEA"/>
    <w:rsid w:val="00DD1C48"/>
    <w:rsid w:val="00DD671D"/>
    <w:rsid w:val="00DD6F84"/>
    <w:rsid w:val="00DE4597"/>
    <w:rsid w:val="00DF1DC5"/>
    <w:rsid w:val="00E02B01"/>
    <w:rsid w:val="00E1229F"/>
    <w:rsid w:val="00E122D2"/>
    <w:rsid w:val="00E16D8C"/>
    <w:rsid w:val="00E22AF2"/>
    <w:rsid w:val="00E31EA4"/>
    <w:rsid w:val="00E459DA"/>
    <w:rsid w:val="00E76E07"/>
    <w:rsid w:val="00EB49E5"/>
    <w:rsid w:val="00EB58D8"/>
    <w:rsid w:val="00EB5BFA"/>
    <w:rsid w:val="00EC18CC"/>
    <w:rsid w:val="00ED15F9"/>
    <w:rsid w:val="00ED2A97"/>
    <w:rsid w:val="00ED4EDC"/>
    <w:rsid w:val="00EF7410"/>
    <w:rsid w:val="00F02EBE"/>
    <w:rsid w:val="00F07365"/>
    <w:rsid w:val="00F1523F"/>
    <w:rsid w:val="00F159C0"/>
    <w:rsid w:val="00F15A36"/>
    <w:rsid w:val="00F3127B"/>
    <w:rsid w:val="00F42102"/>
    <w:rsid w:val="00F42F85"/>
    <w:rsid w:val="00F43D76"/>
    <w:rsid w:val="00F94CDB"/>
    <w:rsid w:val="00F94DEF"/>
    <w:rsid w:val="00FB4A0B"/>
    <w:rsid w:val="00FB634B"/>
    <w:rsid w:val="00FC1002"/>
    <w:rsid w:val="00FD2081"/>
    <w:rsid w:val="00FD6E4F"/>
    <w:rsid w:val="00FD7443"/>
    <w:rsid w:val="00FE11F2"/>
    <w:rsid w:val="00FE66A5"/>
    <w:rsid w:val="00FF1BE4"/>
    <w:rsid w:val="00FF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727"/>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712727"/>
    <w:pPr>
      <w:tabs>
        <w:tab w:val="left" w:pos="709"/>
      </w:tabs>
    </w:pPr>
    <w:rPr>
      <w:rFonts w:ascii="Tahoma" w:hAnsi="Tahoma"/>
      <w:lang w:val="pl-PL" w:eastAsia="pl-PL"/>
    </w:rPr>
  </w:style>
  <w:style w:type="paragraph" w:styleId="Header">
    <w:name w:val="header"/>
    <w:basedOn w:val="Normal"/>
    <w:rsid w:val="00712727"/>
    <w:pPr>
      <w:tabs>
        <w:tab w:val="center" w:pos="4536"/>
        <w:tab w:val="right" w:pos="9072"/>
      </w:tabs>
    </w:pPr>
  </w:style>
  <w:style w:type="table" w:styleId="TableGrid">
    <w:name w:val="Table Grid"/>
    <w:basedOn w:val="TableNormal"/>
    <w:rsid w:val="0071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12727"/>
    <w:pPr>
      <w:tabs>
        <w:tab w:val="center" w:pos="4536"/>
        <w:tab w:val="right" w:pos="9072"/>
      </w:tabs>
    </w:pPr>
  </w:style>
  <w:style w:type="paragraph" w:customStyle="1" w:styleId="CharChar1Char">
    <w:name w:val="Char Char1 Char"/>
    <w:basedOn w:val="Normal"/>
    <w:rsid w:val="00D602E3"/>
    <w:pPr>
      <w:tabs>
        <w:tab w:val="left" w:pos="709"/>
      </w:tabs>
    </w:pPr>
    <w:rPr>
      <w:rFonts w:ascii="Tahoma" w:hAnsi="Tahoma"/>
      <w:lang w:val="pl-PL" w:eastAsia="pl-PL"/>
    </w:rPr>
  </w:style>
  <w:style w:type="paragraph" w:styleId="ListParagraph">
    <w:name w:val="List Paragraph"/>
    <w:basedOn w:val="Normal"/>
    <w:uiPriority w:val="34"/>
    <w:qFormat/>
    <w:rsid w:val="0092090D"/>
    <w:pPr>
      <w:spacing w:after="200" w:line="276" w:lineRule="auto"/>
      <w:ind w:left="720"/>
      <w:contextualSpacing/>
    </w:pPr>
    <w:rPr>
      <w:rFonts w:ascii="Calibri" w:eastAsia="Calibri" w:hAnsi="Calibri"/>
      <w:sz w:val="22"/>
      <w:szCs w:val="22"/>
      <w:lang w:val="en-US" w:eastAsia="en-US"/>
    </w:rPr>
  </w:style>
  <w:style w:type="character" w:customStyle="1" w:styleId="FooterChar">
    <w:name w:val="Footer Char"/>
    <w:link w:val="Footer"/>
    <w:uiPriority w:val="99"/>
    <w:rsid w:val="00D865AE"/>
    <w:rPr>
      <w:lang w:val="en-GB" w:eastAsia="fr-FR"/>
    </w:rPr>
  </w:style>
  <w:style w:type="character" w:styleId="Hyperlink">
    <w:name w:val="Hyperlink"/>
    <w:rsid w:val="0035474F"/>
    <w:rPr>
      <w:color w:val="0000FF"/>
      <w:u w:val="single"/>
    </w:rPr>
  </w:style>
  <w:style w:type="paragraph" w:customStyle="1" w:styleId="1">
    <w:name w:val="1"/>
    <w:basedOn w:val="Normal"/>
    <w:rsid w:val="00880DEB"/>
    <w:pPr>
      <w:tabs>
        <w:tab w:val="left" w:pos="709"/>
      </w:tabs>
    </w:pPr>
    <w:rPr>
      <w:rFonts w:ascii="Tahoma" w:hAnsi="Tahoma"/>
      <w:lang w:val="pl-PL" w:eastAsia="pl-PL"/>
    </w:rPr>
  </w:style>
  <w:style w:type="paragraph" w:styleId="BalloonText">
    <w:name w:val="Balloon Text"/>
    <w:basedOn w:val="Normal"/>
    <w:link w:val="BalloonTextChar"/>
    <w:rsid w:val="00DF1DC5"/>
    <w:rPr>
      <w:rFonts w:ascii="Tahoma" w:hAnsi="Tahoma" w:cs="Tahoma"/>
      <w:sz w:val="16"/>
      <w:szCs w:val="16"/>
    </w:rPr>
  </w:style>
  <w:style w:type="character" w:customStyle="1" w:styleId="BalloonTextChar">
    <w:name w:val="Balloon Text Char"/>
    <w:link w:val="BalloonText"/>
    <w:rsid w:val="00DF1DC5"/>
    <w:rPr>
      <w:rFonts w:ascii="Tahoma"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727"/>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712727"/>
    <w:pPr>
      <w:tabs>
        <w:tab w:val="left" w:pos="709"/>
      </w:tabs>
    </w:pPr>
    <w:rPr>
      <w:rFonts w:ascii="Tahoma" w:hAnsi="Tahoma"/>
      <w:lang w:val="pl-PL" w:eastAsia="pl-PL"/>
    </w:rPr>
  </w:style>
  <w:style w:type="paragraph" w:styleId="Header">
    <w:name w:val="header"/>
    <w:basedOn w:val="Normal"/>
    <w:rsid w:val="00712727"/>
    <w:pPr>
      <w:tabs>
        <w:tab w:val="center" w:pos="4536"/>
        <w:tab w:val="right" w:pos="9072"/>
      </w:tabs>
    </w:pPr>
  </w:style>
  <w:style w:type="table" w:styleId="TableGrid">
    <w:name w:val="Table Grid"/>
    <w:basedOn w:val="TableNormal"/>
    <w:rsid w:val="0071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12727"/>
    <w:pPr>
      <w:tabs>
        <w:tab w:val="center" w:pos="4536"/>
        <w:tab w:val="right" w:pos="9072"/>
      </w:tabs>
    </w:pPr>
  </w:style>
  <w:style w:type="paragraph" w:customStyle="1" w:styleId="CharChar1Char">
    <w:name w:val="Char Char1 Char"/>
    <w:basedOn w:val="Normal"/>
    <w:rsid w:val="00D602E3"/>
    <w:pPr>
      <w:tabs>
        <w:tab w:val="left" w:pos="709"/>
      </w:tabs>
    </w:pPr>
    <w:rPr>
      <w:rFonts w:ascii="Tahoma" w:hAnsi="Tahoma"/>
      <w:lang w:val="pl-PL" w:eastAsia="pl-PL"/>
    </w:rPr>
  </w:style>
  <w:style w:type="paragraph" w:styleId="ListParagraph">
    <w:name w:val="List Paragraph"/>
    <w:basedOn w:val="Normal"/>
    <w:uiPriority w:val="34"/>
    <w:qFormat/>
    <w:rsid w:val="0092090D"/>
    <w:pPr>
      <w:spacing w:after="200" w:line="276" w:lineRule="auto"/>
      <w:ind w:left="720"/>
      <w:contextualSpacing/>
    </w:pPr>
    <w:rPr>
      <w:rFonts w:ascii="Calibri" w:eastAsia="Calibri" w:hAnsi="Calibri"/>
      <w:sz w:val="22"/>
      <w:szCs w:val="22"/>
      <w:lang w:val="en-US" w:eastAsia="en-US"/>
    </w:rPr>
  </w:style>
  <w:style w:type="character" w:customStyle="1" w:styleId="FooterChar">
    <w:name w:val="Footer Char"/>
    <w:link w:val="Footer"/>
    <w:uiPriority w:val="99"/>
    <w:rsid w:val="00D865AE"/>
    <w:rPr>
      <w:lang w:val="en-GB" w:eastAsia="fr-FR"/>
    </w:rPr>
  </w:style>
  <w:style w:type="character" w:styleId="Hyperlink">
    <w:name w:val="Hyperlink"/>
    <w:rsid w:val="0035474F"/>
    <w:rPr>
      <w:color w:val="0000FF"/>
      <w:u w:val="single"/>
    </w:rPr>
  </w:style>
  <w:style w:type="paragraph" w:customStyle="1" w:styleId="1">
    <w:name w:val="1"/>
    <w:basedOn w:val="Normal"/>
    <w:rsid w:val="00880DEB"/>
    <w:pPr>
      <w:tabs>
        <w:tab w:val="left" w:pos="709"/>
      </w:tabs>
    </w:pPr>
    <w:rPr>
      <w:rFonts w:ascii="Tahoma" w:hAnsi="Tahoma"/>
      <w:lang w:val="pl-PL" w:eastAsia="pl-PL"/>
    </w:rPr>
  </w:style>
  <w:style w:type="paragraph" w:styleId="BalloonText">
    <w:name w:val="Balloon Text"/>
    <w:basedOn w:val="Normal"/>
    <w:link w:val="BalloonTextChar"/>
    <w:rsid w:val="00DF1DC5"/>
    <w:rPr>
      <w:rFonts w:ascii="Tahoma" w:hAnsi="Tahoma" w:cs="Tahoma"/>
      <w:sz w:val="16"/>
      <w:szCs w:val="16"/>
    </w:rPr>
  </w:style>
  <w:style w:type="character" w:customStyle="1" w:styleId="BalloonTextChar">
    <w:name w:val="Balloon Text Char"/>
    <w:link w:val="BalloonText"/>
    <w:rsid w:val="00DF1DC5"/>
    <w:rPr>
      <w:rFonts w:ascii="Tahoma"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ura2000.moew.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ea.government.bg/zpo/b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5284</Words>
  <Characters>30121</Characters>
  <Application>Microsoft Office Word</Application>
  <DocSecurity>2</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35335</CharactersWithSpaces>
  <SharedDoc>false</SharedDoc>
  <HLinks>
    <vt:vector size="18" baseType="variant">
      <vt:variant>
        <vt:i4>6094891</vt:i4>
      </vt:variant>
      <vt:variant>
        <vt:i4>6</vt:i4>
      </vt:variant>
      <vt:variant>
        <vt:i4>0</vt:i4>
      </vt:variant>
      <vt:variant>
        <vt:i4>5</vt:i4>
      </vt:variant>
      <vt:variant>
        <vt:lpwstr>mailto:programming@moew.government.bg</vt:lpwstr>
      </vt:variant>
      <vt:variant>
        <vt:lpwstr/>
      </vt:variant>
      <vt:variant>
        <vt:i4>7864445</vt:i4>
      </vt:variant>
      <vt:variant>
        <vt:i4>3</vt:i4>
      </vt:variant>
      <vt:variant>
        <vt:i4>0</vt:i4>
      </vt:variant>
      <vt:variant>
        <vt:i4>5</vt:i4>
      </vt:variant>
      <vt:variant>
        <vt:lpwstr>http://www.eufunds.bg/</vt:lpwstr>
      </vt:variant>
      <vt:variant>
        <vt:lpwstr/>
      </vt:variant>
      <vt:variant>
        <vt:i4>4128870</vt:i4>
      </vt:variant>
      <vt:variant>
        <vt:i4>0</vt:i4>
      </vt:variant>
      <vt:variant>
        <vt:i4>0</vt:i4>
      </vt:variant>
      <vt:variant>
        <vt:i4>5</vt:i4>
      </vt:variant>
      <vt:variant>
        <vt:lpwstr>http://ope.moew.government.bg/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userdtk</dc:creator>
  <cp:lastModifiedBy>zhmetodieva</cp:lastModifiedBy>
  <cp:revision>25</cp:revision>
  <cp:lastPrinted>2016-06-14T16:07:00Z</cp:lastPrinted>
  <dcterms:created xsi:type="dcterms:W3CDTF">2016-06-16T07:13:00Z</dcterms:created>
  <dcterms:modified xsi:type="dcterms:W3CDTF">2016-10-11T12:52:00Z</dcterms:modified>
</cp:coreProperties>
</file>