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F7" w:rsidRDefault="000E19F7" w:rsidP="00256CFF">
      <w:pPr>
        <w:jc w:val="center"/>
        <w:rPr>
          <w:rFonts w:ascii="Times New Roman" w:hAnsi="Times New Roman" w:cs="Times New Roman"/>
          <w:b/>
          <w:sz w:val="28"/>
          <w:szCs w:val="28"/>
        </w:rPr>
      </w:pPr>
      <w:bookmarkStart w:id="0" w:name="_GoBack"/>
      <w:bookmarkEnd w:id="0"/>
    </w:p>
    <w:p w:rsidR="00E01728" w:rsidRPr="000E19F7" w:rsidRDefault="00E01728" w:rsidP="00256CFF">
      <w:pPr>
        <w:jc w:val="center"/>
        <w:rPr>
          <w:rFonts w:cstheme="minorHAnsi"/>
          <w:b/>
          <w:sz w:val="28"/>
          <w:szCs w:val="28"/>
        </w:rPr>
      </w:pPr>
      <w:r w:rsidRPr="000E19F7">
        <w:rPr>
          <w:rFonts w:cstheme="minorHAnsi"/>
          <w:b/>
          <w:sz w:val="28"/>
          <w:szCs w:val="28"/>
        </w:rPr>
        <w:t>Условия за изпълнение на проектите</w:t>
      </w:r>
    </w:p>
    <w:p w:rsidR="00EE2E59" w:rsidRPr="000E19F7" w:rsidRDefault="00E01728" w:rsidP="00256CFF">
      <w:pPr>
        <w:jc w:val="center"/>
        <w:rPr>
          <w:rFonts w:cstheme="minorHAnsi"/>
          <w:b/>
          <w:sz w:val="28"/>
          <w:szCs w:val="28"/>
        </w:rPr>
      </w:pPr>
      <w:r w:rsidRPr="000E19F7">
        <w:rPr>
          <w:rFonts w:cstheme="minorHAnsi"/>
          <w:b/>
          <w:sz w:val="28"/>
          <w:szCs w:val="28"/>
        </w:rPr>
        <w:t>за предоставяне на безвъзмездна финансова помощ по Оперативна програма „Иновации и конкурентоспособност“ 2014-2020 в изпълнение на подхода Водено от общностите местно развитие</w:t>
      </w:r>
    </w:p>
    <w:p w:rsidR="00262864" w:rsidRPr="000E19F7" w:rsidRDefault="00262864">
      <w:pPr>
        <w:rPr>
          <w:rFonts w:cstheme="minorHAnsi"/>
          <w:b/>
        </w:rPr>
      </w:pPr>
    </w:p>
    <w:p w:rsidR="00262864" w:rsidRPr="000E19F7" w:rsidRDefault="00262864" w:rsidP="000E19F7">
      <w:pPr>
        <w:jc w:val="both"/>
        <w:rPr>
          <w:rFonts w:cstheme="minorHAnsi"/>
          <w:b/>
        </w:rPr>
      </w:pPr>
      <w:r w:rsidRPr="000E19F7">
        <w:rPr>
          <w:rFonts w:cstheme="minorHAnsi"/>
          <w:b/>
        </w:rPr>
        <w:t xml:space="preserve">ВАЖНО! Изпълнението на отделните проекти в рамките на стратегиите за ВОМР се извършва при спазване на изискванията на УО на ОПИК. Мониторинг върху изпълнението на проект в рамките на стратегия за ВОМР се извършва от МИГ и от органите, отговорни за управлението и контрола на оперативната програма.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w:t>
      </w:r>
      <w:bookmarkStart w:id="1" w:name="_Hlk506540695"/>
      <w:r w:rsidRPr="000E19F7">
        <w:rPr>
          <w:rFonts w:cstheme="minorHAnsi"/>
          <w:b/>
        </w:rPr>
        <w:t>МИГ</w:t>
      </w:r>
      <w:r w:rsidR="00256CFF" w:rsidRPr="000E19F7">
        <w:rPr>
          <w:rFonts w:cstheme="minorHAnsi"/>
          <w:b/>
        </w:rPr>
        <w:t xml:space="preserve">-ЛОМ </w:t>
      </w:r>
      <w:r w:rsidRPr="000E19F7">
        <w:rPr>
          <w:rFonts w:cstheme="minorHAnsi"/>
          <w:b/>
        </w:rPr>
        <w:t xml:space="preserve"> </w:t>
      </w:r>
      <w:bookmarkEnd w:id="1"/>
      <w:r w:rsidRPr="000E19F7">
        <w:rPr>
          <w:rFonts w:cstheme="minorHAnsi"/>
          <w:b/>
        </w:rPr>
        <w:t>във връзка с изпълнение на задълженията им по чл. 51 на ПМС 161/2016.</w:t>
      </w:r>
    </w:p>
    <w:p w:rsidR="00262864" w:rsidRPr="000E19F7" w:rsidRDefault="00262864" w:rsidP="000E19F7">
      <w:pPr>
        <w:jc w:val="both"/>
        <w:rPr>
          <w:rFonts w:cstheme="minorHAnsi"/>
          <w:b/>
        </w:rPr>
      </w:pPr>
      <w:r w:rsidRPr="000E19F7">
        <w:rPr>
          <w:rFonts w:cstheme="minorHAnsi"/>
          <w:b/>
        </w:rPr>
        <w:t xml:space="preserve">ВАЖНО! Във връзка с извършването на мониторинг на одобрените проекти </w:t>
      </w:r>
      <w:r w:rsidR="00256CFF" w:rsidRPr="000E19F7">
        <w:rPr>
          <w:rFonts w:cstheme="minorHAnsi"/>
          <w:b/>
        </w:rPr>
        <w:t xml:space="preserve">МИГ-ЛОМ  </w:t>
      </w:r>
      <w:r w:rsidRPr="000E19F7">
        <w:rPr>
          <w:rFonts w:cstheme="minorHAnsi"/>
          <w:b/>
        </w:rPr>
        <w:t xml:space="preserve">изискват от бенефициентите информация. При установяване на затруднения за изпълнение на проектите и целите на стратегията </w:t>
      </w:r>
      <w:r w:rsidR="00256CFF" w:rsidRPr="000E19F7">
        <w:rPr>
          <w:rFonts w:cstheme="minorHAnsi"/>
          <w:b/>
        </w:rPr>
        <w:t xml:space="preserve">МИГ-ЛОМ  </w:t>
      </w:r>
      <w:r w:rsidRPr="000E19F7">
        <w:rPr>
          <w:rFonts w:cstheme="minorHAnsi"/>
          <w:b/>
        </w:rPr>
        <w:t>докладват на УО на програмата и предлагат мерки за преодоляването им.</w:t>
      </w:r>
    </w:p>
    <w:p w:rsidR="00262864" w:rsidRPr="000E19F7" w:rsidRDefault="00262864" w:rsidP="000E19F7">
      <w:pPr>
        <w:jc w:val="both"/>
        <w:rPr>
          <w:rFonts w:cstheme="minorHAnsi"/>
          <w:b/>
        </w:rPr>
      </w:pPr>
      <w:r w:rsidRPr="000E19F7">
        <w:rPr>
          <w:rFonts w:cstheme="minorHAnsi"/>
          <w:b/>
        </w:rPr>
        <w:t>ВАЖНО! Управляващият орган на ОПИК може едностранно да прекрати договор с бенефициент по реда на чл. 39, ал. 3-5 от ЗУСЕСИФ.</w:t>
      </w:r>
    </w:p>
    <w:p w:rsidR="00262864" w:rsidRDefault="00262864" w:rsidP="00262864">
      <w:pPr>
        <w:rPr>
          <w:b/>
        </w:rPr>
      </w:pPr>
    </w:p>
    <w:tbl>
      <w:tblPr>
        <w:tblStyle w:val="a3"/>
        <w:tblW w:w="0" w:type="auto"/>
        <w:tblLook w:val="04A0" w:firstRow="1" w:lastRow="0" w:firstColumn="1" w:lastColumn="0" w:noHBand="0" w:noVBand="1"/>
      </w:tblPr>
      <w:tblGrid>
        <w:gridCol w:w="9016"/>
      </w:tblGrid>
      <w:tr w:rsidR="00915F90" w:rsidTr="00915F90">
        <w:tc>
          <w:tcPr>
            <w:tcW w:w="9016" w:type="dxa"/>
          </w:tcPr>
          <w:p w:rsidR="00915F90" w:rsidRPr="00915F90" w:rsidRDefault="00915F90" w:rsidP="000E19F7">
            <w:pPr>
              <w:jc w:val="both"/>
              <w:rPr>
                <w:b/>
              </w:rPr>
            </w:pPr>
            <w:r w:rsidRPr="00915F90">
              <w:rPr>
                <w:b/>
              </w:rPr>
              <w:t>1.</w:t>
            </w:r>
            <w:r w:rsidRPr="00915F90">
              <w:rPr>
                <w:b/>
              </w:rPr>
              <w:tab/>
              <w:t>Техническо изпълнение на проектите</w:t>
            </w:r>
          </w:p>
          <w:p w:rsidR="00915F90" w:rsidRDefault="00915F90" w:rsidP="000E19F7">
            <w:pPr>
              <w:jc w:val="both"/>
            </w:pPr>
          </w:p>
          <w:p w:rsidR="00915F90" w:rsidRDefault="00915F90" w:rsidP="000E19F7">
            <w:pPr>
              <w:jc w:val="both"/>
            </w:pPr>
            <w:r>
              <w:t xml:space="preserve">     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w:t>
            </w:r>
          </w:p>
          <w:p w:rsidR="00915F90" w:rsidRDefault="00915F90" w:rsidP="000E19F7">
            <w:pPr>
              <w:jc w:val="both"/>
            </w:pPr>
            <w:r>
              <w:t>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Ръководството за изпълнение на договор за БФП по Оперативна програма "Иновации и конкурентоспособност" 2014¬2020 (което може да бъде намерено на интернет страницата на Управляващия орган:</w:t>
            </w:r>
          </w:p>
          <w:p w:rsidR="00256CFF" w:rsidRDefault="00256CFF" w:rsidP="000E19F7">
            <w:pPr>
              <w:jc w:val="both"/>
            </w:pPr>
          </w:p>
          <w:p w:rsidR="00915F90" w:rsidRPr="00256CFF" w:rsidRDefault="00915F90" w:rsidP="000E19F7">
            <w:pPr>
              <w:jc w:val="both"/>
              <w:rPr>
                <w:b/>
              </w:rPr>
            </w:pPr>
            <w:r w:rsidRPr="00256CFF">
              <w:rPr>
                <w:b/>
              </w:rPr>
              <w:t>ВАЖНО: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p w:rsidR="00915F90" w:rsidRPr="00256CFF" w:rsidRDefault="00915F90" w:rsidP="000E19F7">
            <w:pPr>
              <w:jc w:val="both"/>
              <w:rPr>
                <w:b/>
              </w:rPr>
            </w:pPr>
            <w:r w:rsidRPr="00256CFF">
              <w:lastRenderedPageBreak/>
              <w:t>В случаите, когато бенефициентът не е възложител по смисъла на ЗОП, при избор на изпълнител/и същият задължително прилага разпоредбите на Глава четвърта от ЗУСЕСИФ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ДБФП по Оперативна програма "Иновации и конкурентоспособност" 2014-2020</w:t>
            </w:r>
            <w:r w:rsidRPr="00256CFF">
              <w:rPr>
                <w:b/>
              </w:rPr>
              <w:t>.</w:t>
            </w:r>
          </w:p>
          <w:p w:rsidR="00915F90" w:rsidRDefault="00915F90" w:rsidP="000E19F7">
            <w:pPr>
              <w:jc w:val="both"/>
            </w:pPr>
            <w:r>
              <w:t>При подаване на междинен/финален отчет за изпълнението на проекта, Управляващият орган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разходите за съответните дейности няма да бъдат признати, като ще бъдат прилагани съответни европейски и национални норми, както и правилата, утвърдени от Ръководителя на Управляващия орган.</w:t>
            </w:r>
          </w:p>
          <w:p w:rsidR="00915F90" w:rsidRDefault="00915F90" w:rsidP="000E19F7">
            <w:pPr>
              <w:jc w:val="both"/>
            </w:pPr>
            <w:r>
              <w:t>В процеса на изпълнение на сключените договори за безвъзмездна финансова помощ, Управляващият орган ще осъществява предварителен контрол за спазване на правилата за избор на изпълнители от страна на бенефициента съгласно приложимото законодателство единствено в случаите, в които бенефициентът изрично е изявил желание за това.</w:t>
            </w:r>
          </w:p>
          <w:p w:rsidR="00915F90" w:rsidRDefault="00915F90" w:rsidP="000E19F7">
            <w:pPr>
              <w:jc w:val="both"/>
            </w:pPr>
            <w:r>
              <w:t>При подготовката на проектните предложения кандидатите следва да съобразят необходимостта от прилагане на процедури за избор на изпълнител и съответно да посочат това като част от предвидените за изпълнение дейности и да го отразят във времевия график за изпълнение на проекта във Формуляра за кандидатстване.</w:t>
            </w:r>
          </w:p>
          <w:p w:rsidR="00915F90" w:rsidRDefault="00915F90" w:rsidP="000E19F7">
            <w:pPr>
              <w:jc w:val="both"/>
            </w:pPr>
            <w:r>
              <w:t>При провеждане на процедурата/</w:t>
            </w:r>
            <w:proofErr w:type="spellStart"/>
            <w:r>
              <w:t>ите</w:t>
            </w:r>
            <w:proofErr w:type="spellEnd"/>
            <w:r>
              <w:t xml:space="preserve">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rsidR="00915F90" w:rsidRDefault="00915F90" w:rsidP="000E19F7">
            <w:pPr>
              <w:jc w:val="both"/>
            </w:pPr>
            <w:r>
              <w:t xml:space="preserve">По настоящата процедура за безвъзмездна помощ няма ограничения относно произхода на придобиваните активи. </w:t>
            </w:r>
          </w:p>
          <w:p w:rsidR="00915F90" w:rsidRDefault="00915F90" w:rsidP="000E19F7">
            <w:pPr>
              <w:jc w:val="both"/>
            </w:pPr>
            <w:r>
              <w:t>Правата и задълженията, които възникват за бенефициента, са описани в образец на Административен договор за безвъзмездна финансова помощ по Оперативна програма „Иновации и конкурентоспособност” 2014-2020 и Общите условия към финансираните по Оперативна програма „Иновации и конкурентоспособност” 2014-2020 договори за безвъзмездна финансова помощ. В процеса на изпълнение на проектите, бенефициентите следва да се придържат към правилата и процедурите, описани в Ръководството за изпълнение на ДБФП по Оперативна програма "Иновации и конкурентоспособност" 2014-2020.</w:t>
            </w:r>
          </w:p>
          <w:p w:rsidR="00915F90" w:rsidRDefault="00915F90" w:rsidP="000E19F7">
            <w:pPr>
              <w:jc w:val="both"/>
            </w:pPr>
            <w:r>
              <w:t xml:space="preserve">Всеки кандидат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w:t>
            </w:r>
            <w:proofErr w:type="spellStart"/>
            <w:r>
              <w:t>обн</w:t>
            </w:r>
            <w:proofErr w:type="spellEnd"/>
            <w:r>
              <w:t>. ДВ, бр. 57 от 2016г.) и съобразно подписаната от него Декларация за нередности.</w:t>
            </w:r>
          </w:p>
          <w:p w:rsidR="00915F90" w:rsidRDefault="00915F90" w:rsidP="000E19F7">
            <w:pPr>
              <w:jc w:val="both"/>
            </w:pPr>
            <w:r>
              <w:t>Ако бенефициентът не може да изпълни изцяло или частично дейностите, заложени в административния договор, плащанията могат да не се извършат (цялостно или частично) в зависимост от невъзможността за изпълнение на задълженията от страна на бенефициента.</w:t>
            </w:r>
          </w:p>
          <w:p w:rsidR="00915F90" w:rsidRDefault="00915F90" w:rsidP="000E19F7">
            <w:pPr>
              <w:jc w:val="both"/>
            </w:pPr>
            <w:r>
              <w:t>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съгласно чл. 39 от ЗУСЕСИФ. Анексът към административния договор не може да нарушава конкурентните условия, съществуващи към момента на сключване на административния договор и равното третиране на бенефициентите.</w:t>
            </w:r>
          </w:p>
          <w:p w:rsidR="00915F90" w:rsidRDefault="00915F90" w:rsidP="000E19F7">
            <w:pPr>
              <w:jc w:val="both"/>
            </w:pPr>
            <w:r>
              <w:lastRenderedPageBreak/>
              <w:t>Съгласно правилата на Регламент 1303/2013, Управляващият орган следва да извършва проверки за удостоверяване на административните, финансовите, техническите и физическите аспекти от изпълнението на проектите. Проверките могат да бъдат както административни - проверка на документи, предоставени във връзка с възстановяване на разходи, така и проверки на място за изпълнение на дейностите, заложени по проекта. Проверките от страна на Управляващия орган се извършват на всички проекти и/или на проекти, определени на база извадка. 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и/или други одитиращи институции с цел извършването на проверка на място на резултатите от изпълнението на проекта.</w:t>
            </w:r>
          </w:p>
          <w:p w:rsidR="00915F90" w:rsidRDefault="00915F90" w:rsidP="000E19F7">
            <w:pPr>
              <w:jc w:val="both"/>
            </w:pPr>
            <w:r>
              <w:t>Бенефициентът е задължен да докладва и отчита изпълнението на проекта в съответните отчетни форми и документи, приложени към Ръководството за изпълнение на ДБФП по Оперативна програма "Иновации и конкурентоспособност" 2014-2020.</w:t>
            </w:r>
          </w:p>
          <w:p w:rsidR="00915F90" w:rsidRDefault="00915F90" w:rsidP="000E19F7">
            <w:pPr>
              <w:jc w:val="both"/>
            </w:pPr>
            <w: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документооборот и счетоводно отчитане. С всяко искане за междинно плащане, в хода на изпълнение на договора, бенефициентът е задължен да изготви и представи на Управляващия орган междинен технически и финансов отчети, които да съдържат необходимите приложения с пълна информация за всички аспекти на изпълнението за отчетния период. След приключването на дейностите по договора за безвъзмездна финансова помощ, бенефициентът е длъжен да изготви и представи на Управляващия орган финален технически и финансов отчети, съдържащи информация относно цялостното изпълнение на дейностите и постигнатите резултати. Отчетите се изготвят съгласно образците, приложени към Ръководството за изпълнение на ДБФП по Оперативна програма "Иновации и конкурентоспособност" 2014-2020. Тези отчети трябва да посочват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Отчетите следва да отразяват и съответствието на дейностите с хоризонталните политики на ЕС,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w:t>
            </w:r>
          </w:p>
          <w:p w:rsidR="00915F90" w:rsidRDefault="00915F90" w:rsidP="000E19F7">
            <w:pPr>
              <w:jc w:val="both"/>
            </w:pPr>
            <w:r>
              <w:t>Допълнително, в хода на изпълнение на проекта, Ръководителят на Управляващия орган може да изиска от бенефициента да предостави доклади и/или допълнителна информация относно напредъка, постигнат по проекта.</w:t>
            </w:r>
          </w:p>
          <w:p w:rsidR="00915F90" w:rsidRPr="00290F72" w:rsidRDefault="00915F90" w:rsidP="000E19F7">
            <w:pPr>
              <w:jc w:val="both"/>
              <w:rPr>
                <w:b/>
              </w:rPr>
            </w:pPr>
            <w:r w:rsidRPr="00290F72">
              <w:rPr>
                <w:b/>
              </w:rPr>
              <w:t xml:space="preserve">За дата на предоставяне на помощта по смисъла на чл. 3, </w:t>
            </w:r>
            <w:proofErr w:type="spellStart"/>
            <w:r w:rsidRPr="00290F72">
              <w:rPr>
                <w:b/>
              </w:rPr>
              <w:t>пар</w:t>
            </w:r>
            <w:proofErr w:type="spellEnd"/>
            <w:r w:rsidRPr="00290F72">
              <w:rPr>
                <w:b/>
              </w:rPr>
              <w:t>. 4 от Регламент 1407/2013 се счита датата на сключване на договора за безвъзмездна финансова помощ.</w:t>
            </w:r>
          </w:p>
        </w:tc>
      </w:tr>
    </w:tbl>
    <w:p w:rsidR="00262864" w:rsidRDefault="00262864"/>
    <w:tbl>
      <w:tblPr>
        <w:tblStyle w:val="a3"/>
        <w:tblW w:w="0" w:type="auto"/>
        <w:tblLook w:val="04A0" w:firstRow="1" w:lastRow="0" w:firstColumn="1" w:lastColumn="0" w:noHBand="0" w:noVBand="1"/>
      </w:tblPr>
      <w:tblGrid>
        <w:gridCol w:w="9016"/>
      </w:tblGrid>
      <w:tr w:rsidR="0000338A" w:rsidTr="0000338A">
        <w:tc>
          <w:tcPr>
            <w:tcW w:w="9016" w:type="dxa"/>
          </w:tcPr>
          <w:p w:rsidR="0000338A" w:rsidRPr="00915F90" w:rsidRDefault="0000338A" w:rsidP="0000338A">
            <w:pPr>
              <w:rPr>
                <w:b/>
              </w:rPr>
            </w:pPr>
            <w:r w:rsidRPr="00915F90">
              <w:rPr>
                <w:b/>
              </w:rPr>
              <w:t>2.</w:t>
            </w:r>
            <w:r w:rsidRPr="00915F90">
              <w:rPr>
                <w:b/>
              </w:rPr>
              <w:tab/>
              <w:t>Финансово изпълнение на проектите и плащане</w:t>
            </w:r>
          </w:p>
          <w:p w:rsidR="00915F90" w:rsidRDefault="00915F90" w:rsidP="0000338A"/>
          <w:p w:rsidR="0000338A" w:rsidRDefault="0000338A" w:rsidP="000E19F7">
            <w:pPr>
              <w:jc w:val="both"/>
            </w:pPr>
            <w: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rsidR="0000338A" w:rsidRDefault="0000338A" w:rsidP="000E19F7">
            <w:pPr>
              <w:jc w:val="both"/>
            </w:pPr>
            <w:r>
              <w:t xml:space="preserve">Бенефициентът е задължен да поддържа отделни счетоводни аналитични сметки или отделна счетоводна система за допустимите разходи по проекта и използването на </w:t>
            </w:r>
            <w:r>
              <w:lastRenderedPageBreak/>
              <w:t>средствата от безвъзмездната финансова помощ, съгласно изискванията на чл. 57, ал. 1, т.5 от ЗУСЕСИФ.</w:t>
            </w:r>
          </w:p>
          <w:p w:rsidR="0000338A" w:rsidRDefault="0000338A" w:rsidP="000E19F7">
            <w:pPr>
              <w:jc w:val="both"/>
            </w:pPr>
            <w:r>
              <w:t>При изпълнение на административните договори за безвъзмездна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При оформяне на исканията за плащане, за документалната отчетност, както и за всички други свои задължения във връзка с получаване на средства по всяка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ОПИК и съответната процедура.</w:t>
            </w:r>
          </w:p>
          <w:p w:rsidR="0000338A" w:rsidRDefault="0000338A" w:rsidP="000E19F7">
            <w:pPr>
              <w:jc w:val="both"/>
            </w:pPr>
            <w:r>
              <w:t xml:space="preserve">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се основава на бюджета, който е предварителна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окончателен,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w:t>
            </w:r>
          </w:p>
          <w:p w:rsidR="0000338A" w:rsidRDefault="0000338A" w:rsidP="000E19F7">
            <w:pPr>
              <w:jc w:val="both"/>
            </w:pPr>
            <w:r>
              <w:t>действително извършените разходи.</w:t>
            </w:r>
            <w:r w:rsidR="00915F90">
              <w:t xml:space="preserve"> </w:t>
            </w:r>
            <w:r>
              <w:t>Недопустими са промени в бюджета на административния договор, водещи до увеличаване на първоначално договорения процент и размер на безвъзмездната финансова помощ по административния договор и/или водещи до превишаване на средствата по бюджетни пера, за които има определен в Условията за кандидатстване максимален размер/процент.</w:t>
            </w:r>
            <w:r w:rsidR="00915F90">
              <w:t xml:space="preserve"> </w:t>
            </w:r>
            <w:r>
              <w:t>По всяка процедура за предоставяне на безвъзмездна финансова помощ се предвиждат 3 варианта на плащане, както следва:</w:t>
            </w:r>
          </w:p>
          <w:p w:rsidR="004C0117" w:rsidRDefault="004C0117" w:rsidP="000E19F7">
            <w:pPr>
              <w:jc w:val="both"/>
            </w:pPr>
          </w:p>
          <w:p w:rsidR="0000338A" w:rsidRPr="004C0117" w:rsidRDefault="0000338A" w:rsidP="000E19F7">
            <w:pPr>
              <w:jc w:val="both"/>
              <w:rPr>
                <w:b/>
              </w:rPr>
            </w:pPr>
            <w:r w:rsidRPr="004C0117">
              <w:rPr>
                <w:b/>
              </w:rPr>
              <w:t>Вариант 1 (с авансово плащане, междинни и окончателно плащане):</w:t>
            </w:r>
          </w:p>
          <w:p w:rsidR="004C0117" w:rsidRDefault="004C0117" w:rsidP="000E19F7">
            <w:pPr>
              <w:jc w:val="both"/>
            </w:pPr>
          </w:p>
          <w:p w:rsidR="0000338A" w:rsidRDefault="004C0117" w:rsidP="000E19F7">
            <w:pPr>
              <w:jc w:val="both"/>
            </w:pPr>
            <w:r>
              <w:t xml:space="preserve">         </w:t>
            </w:r>
            <w:r w:rsidR="0000338A">
              <w:t xml:space="preserve">Бенефициентите имат право да получат авансово плащане като представят искане за плащане в ИСУН 2020 по административен договор за безвъзмездна финансова помощ. </w:t>
            </w:r>
            <w:r w:rsidR="0000338A" w:rsidRPr="00290F72">
              <w:rPr>
                <w:b/>
              </w:rPr>
              <w:t>Авансовото плащане може да бъде в размер до 40% от общия размер на безвъзмездната финансова помощ.</w:t>
            </w:r>
            <w:r w:rsidR="0000338A">
              <w:t xml:space="preserve"> Условие за неговото извършване е предоставянето от страна на бенефициента на Банкова гаранция, покриваща пълния размер на исканата авансова сума, Финансова идентификационна форма (съгласно образеца, приложен към Ръководството за изпълнение на ДБФП по Оперативна програма "Иновации и конкурентоспособност" 2014-2020) и декларация за банкова сметка (с цел удостоверяване на задължението на бенефициента да използва сумата по авансовото плащане единствено за целите на проекта).</w:t>
            </w:r>
          </w:p>
          <w:p w:rsidR="0000338A" w:rsidRDefault="0000338A" w:rsidP="000E19F7">
            <w:pPr>
              <w:jc w:val="both"/>
            </w:pPr>
            <w:r>
              <w:t>След представяне на посочените документи Управляващия орган превежда размера на авансовото плащане по банкова сметка на бенефициента, открита за целите на получаване и разходване на сумата на авансовото плащане. Бенефициентът може да използва средствата по тази сметка съгласно условията, определени в договора за откриването й.</w:t>
            </w:r>
          </w:p>
          <w:p w:rsidR="0000338A" w:rsidRDefault="0000338A" w:rsidP="000E19F7">
            <w:pPr>
              <w:jc w:val="both"/>
            </w:pPr>
            <w:r>
              <w:t>Авансовото плащане се извършва в срок от 20 /двадесет/ календарни дни от датата на постъпване на искането за плащане в Управляващия орган, при условията и реда на чл.61 от ЗУСЕСИФ.</w:t>
            </w:r>
          </w:p>
          <w:p w:rsidR="0000338A" w:rsidRDefault="0000338A" w:rsidP="000E19F7">
            <w:pPr>
              <w:jc w:val="both"/>
            </w:pPr>
            <w:r>
              <w:lastRenderedPageBreak/>
              <w:t>Бенефициентът има право на междинни плащания. Междинни и окончателни плащания се извършват след верифициране с цел потвърждаване допустимостта на извършените разходи и при наличие на физически и финансов напредък на проекта. За да получи исканата сума, бенефициентът трябва да представи доказателствени документи, които удостоверяват изпълнението на отчитаните дейности/действия и изразходването на средствата. Управляващият орган одобрява дейностите и верифицира разходите въз основа на проверка на документите, представени към искането за плащане и на проверки на място и изплаща на бенефициента тази част от одобрените разходи, съответстваща на процента на безвъзмездна финансова помощ, посочен в административния договор.</w:t>
            </w:r>
          </w:p>
          <w:p w:rsidR="0000338A" w:rsidRPr="004F07D5" w:rsidRDefault="00A50853" w:rsidP="000E19F7">
            <w:pPr>
              <w:jc w:val="both"/>
            </w:pPr>
            <w:r w:rsidRPr="004F07D5">
              <w:t>При обезпечаване на авансовите плащания с гаранция издадена от банка, общата сума на авансовото и междинните плащания е до 95% от стойността на безвъзмездната финансова помощ. Този праг от 95% не се прилага, когато няма извършено авансово плащане или когато авансът е покрит изцяло с допустими разходи съгласно чл. 131, параграф 2 от Регламент (ЕС) № 1303/2013.</w:t>
            </w:r>
          </w:p>
          <w:p w:rsidR="0000338A" w:rsidRDefault="0000338A" w:rsidP="000E19F7">
            <w:pPr>
              <w:jc w:val="both"/>
            </w:pPr>
            <w:r>
              <w:t>Размерът на окончателното плащане се изчислява след приключване на проекта, одобряване на финалния технически и финансов отчет, като се приспадне сумата по отпуснатото авансово плащане и натрупаната лихва във връзка с него.</w:t>
            </w:r>
          </w:p>
          <w:p w:rsidR="00146FC6" w:rsidRDefault="0000338A" w:rsidP="000E19F7">
            <w:pPr>
              <w:jc w:val="both"/>
            </w:pPr>
            <w:r>
              <w:t xml:space="preserve">Заявяването на авансово плащане от страна на бенефициентите не е задължително. </w:t>
            </w:r>
          </w:p>
          <w:p w:rsidR="00146FC6" w:rsidRDefault="00146FC6" w:rsidP="000E19F7">
            <w:pPr>
              <w:jc w:val="both"/>
            </w:pPr>
          </w:p>
          <w:p w:rsidR="008A62D7" w:rsidRDefault="0000338A" w:rsidP="000E19F7">
            <w:pPr>
              <w:jc w:val="both"/>
            </w:pPr>
            <w:r w:rsidRPr="004C0117">
              <w:rPr>
                <w:b/>
              </w:rPr>
              <w:t>Вариант 2 (само междинни плащания и окончателно плащане):</w:t>
            </w:r>
            <w:r w:rsidR="008A62D7">
              <w:t xml:space="preserve"> </w:t>
            </w:r>
          </w:p>
          <w:p w:rsidR="008A62D7" w:rsidRDefault="008A62D7" w:rsidP="000E19F7">
            <w:pPr>
              <w:jc w:val="both"/>
              <w:rPr>
                <w:b/>
              </w:rPr>
            </w:pPr>
          </w:p>
          <w:p w:rsidR="008A62D7" w:rsidRDefault="008A62D7" w:rsidP="000E19F7">
            <w:pPr>
              <w:jc w:val="both"/>
            </w:pPr>
            <w:r w:rsidRPr="008A62D7">
              <w:t>В този случай бенефициентът първоначално заплаща всички разходи по изпълнение на проекта за определен период. За да получи исканата сума за междинно плащане, бенефициентът трябва да представи за одобрение междинен технически и финансов отчет. Отчетът трябва да съдържа доказателствени документи, които удостоверяват изпълнението на отчитаните дейности/действия и изразходването на средствата (съгласно образците, приложени към Ръководството за изпълнение на ДБФП по Оперативна</w:t>
            </w:r>
            <w:r w:rsidRPr="008A62D7">
              <w:rPr>
                <w:b/>
              </w:rPr>
              <w:t xml:space="preserve"> </w:t>
            </w:r>
            <w:r w:rsidRPr="008A62D7">
              <w:t xml:space="preserve">програма "Иновации и конкурентоспособност" 2014-2020). Документите се проверяват, разходите се верифицират и на Бенефициента се изплаща тази част от изразходваните средства, която отговаря на процента на безвъзмездна финансова помощ, посочена в административния договор. </w:t>
            </w:r>
          </w:p>
          <w:p w:rsidR="008A62D7" w:rsidRPr="008A62D7" w:rsidRDefault="008A62D7" w:rsidP="000E19F7">
            <w:pPr>
              <w:jc w:val="both"/>
              <w:rPr>
                <w:b/>
              </w:rPr>
            </w:pPr>
            <w:r w:rsidRPr="008A62D7">
              <w:rPr>
                <w:b/>
              </w:rPr>
              <w:t>Вариант 3 (само окончателно плащане):</w:t>
            </w:r>
          </w:p>
          <w:p w:rsidR="008A62D7" w:rsidRDefault="008A62D7" w:rsidP="000E19F7">
            <w:pPr>
              <w:jc w:val="both"/>
            </w:pPr>
            <w:r>
              <w:t>Окончателното плащане в размер на общата стойност на безвъзмездната финансова помощ, изчислена като се приложи процента, посочен в чл. 4.2 от Административния договор за безвъзмездна финансова помощ към общите верифицирани разходи. То се извършва след одобрението на финалния отчет, придружен с искане за плащане в съответствие с чл. 2.6 и чл. 2.7 от Общите условия към финансираните по Оперативна програма „Иновации и конкурентоспособност“ административни договори за БФП.</w:t>
            </w:r>
          </w:p>
          <w:p w:rsidR="008A62D7" w:rsidRPr="00E369D5" w:rsidRDefault="008A62D7" w:rsidP="000E19F7">
            <w:pPr>
              <w:jc w:val="both"/>
            </w:pPr>
            <w:r>
              <w:t xml:space="preserve">В случай че бенефициентът избере Вариант 1 или Вариант 2, т.е. в случаите, когато плащането на безвъзмездната финансова помощ ще се извърши на няколко вноски (траншове), помощта и допустимите разходи следва да бъдат сконтирани до съответната стойност към момента на предоставянето на помощта при използване на референтния лихвен процент, използван за нуждите на държавните помощи, приложим към датата на предоставяне на помощта в съответствие чл. 3, </w:t>
            </w:r>
            <w:proofErr w:type="spellStart"/>
            <w:r>
              <w:t>пар</w:t>
            </w:r>
            <w:proofErr w:type="spellEnd"/>
            <w:r>
              <w:t xml:space="preserve">. 6 от Регламент 1407/2013. Референтният лихвен процент се актуализира периодично от Европейската комисия. Референтният лихвен процент за Република България за съответния период се оповестява на следния интернет </w:t>
            </w:r>
            <w:r w:rsidRPr="00E369D5">
              <w:t xml:space="preserve">адрес: </w:t>
            </w:r>
            <w:r w:rsidR="00E369D5" w:rsidRPr="00E369D5">
              <w:t>http://stateaid.minfin.bg/bg/page/424.</w:t>
            </w:r>
          </w:p>
          <w:p w:rsidR="008A62D7" w:rsidRDefault="008A62D7" w:rsidP="000E19F7">
            <w:pPr>
              <w:jc w:val="both"/>
            </w:pPr>
            <w:r>
              <w:lastRenderedPageBreak/>
              <w:t>Сконтирането  ще се извършва от Управляващия орган с цел гарантиране, че предоставената безвъзмездна финансова помощ ще бъде съобразена с праговете и интензитетите за минимална помощ, посочени в т. 9-10 от Условията за кандидатстване.</w:t>
            </w:r>
          </w:p>
          <w:p w:rsidR="008A62D7" w:rsidRDefault="008A62D7" w:rsidP="000E19F7">
            <w:pPr>
              <w:jc w:val="both"/>
            </w:pPr>
            <w:r>
              <w:t xml:space="preserve">Допустимо е придобиването на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 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 при спазване и на правилата посочени в Ръководството за изпълнение на ДБФП по </w:t>
            </w:r>
          </w:p>
          <w:p w:rsidR="008A62D7" w:rsidRDefault="008A62D7" w:rsidP="000E19F7">
            <w:pPr>
              <w:jc w:val="both"/>
            </w:pPr>
            <w:r>
              <w:t>ИНОВАЦИИ  И КОНКУРЕНТОСПОСОБНОСТ ЕВРОПЕЙСКИ СЪЮЗ.</w:t>
            </w:r>
          </w:p>
          <w:p w:rsidR="0000338A" w:rsidRPr="004C0117" w:rsidRDefault="008A62D7" w:rsidP="000E19F7">
            <w:pPr>
              <w:jc w:val="both"/>
              <w:rPr>
                <w:b/>
              </w:rPr>
            </w:pPr>
            <w:r>
              <w:t xml:space="preserve">Оперативна програма "Иновации и конкурентоспособност" 2014-2020. Окончателно плащане по договори за краткосрочен финансов лизинг се извършва след изплащане на цялата стойност към </w:t>
            </w:r>
            <w:proofErr w:type="spellStart"/>
            <w:r>
              <w:t>лизингодателя</w:t>
            </w:r>
            <w:proofErr w:type="spellEnd"/>
            <w:r>
              <w:t xml:space="preserve"> и прехвърляне собствеността на дадения актив.</w:t>
            </w:r>
          </w:p>
        </w:tc>
      </w:tr>
    </w:tbl>
    <w:p w:rsidR="00262864" w:rsidRDefault="00262864"/>
    <w:p w:rsidR="00262864" w:rsidRDefault="00262864"/>
    <w:tbl>
      <w:tblPr>
        <w:tblStyle w:val="a3"/>
        <w:tblW w:w="0" w:type="auto"/>
        <w:tblLook w:val="04A0" w:firstRow="1" w:lastRow="0" w:firstColumn="1" w:lastColumn="0" w:noHBand="0" w:noVBand="1"/>
      </w:tblPr>
      <w:tblGrid>
        <w:gridCol w:w="9016"/>
      </w:tblGrid>
      <w:tr w:rsidR="00262864" w:rsidTr="00262864">
        <w:tc>
          <w:tcPr>
            <w:tcW w:w="9016" w:type="dxa"/>
          </w:tcPr>
          <w:p w:rsidR="00262864" w:rsidRDefault="00262864"/>
          <w:p w:rsidR="008A62D7" w:rsidRPr="008A62D7" w:rsidRDefault="008A62D7" w:rsidP="008A62D7">
            <w:pPr>
              <w:rPr>
                <w:b/>
              </w:rPr>
            </w:pPr>
            <w:r w:rsidRPr="008A62D7">
              <w:rPr>
                <w:b/>
              </w:rPr>
              <w:t>3.</w:t>
            </w:r>
            <w:r w:rsidRPr="008A62D7">
              <w:rPr>
                <w:b/>
              </w:rPr>
              <w:tab/>
              <w:t>Мерки за информиране и публичност</w:t>
            </w:r>
          </w:p>
          <w:p w:rsidR="008A62D7" w:rsidRDefault="008A62D7" w:rsidP="008A62D7"/>
          <w:p w:rsidR="008A62D7" w:rsidRDefault="008A62D7" w:rsidP="000E19F7">
            <w:pPr>
              <w:jc w:val="both"/>
            </w:pPr>
            <w: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rsidR="008A62D7" w:rsidRDefault="008A62D7" w:rsidP="000E19F7">
            <w:pPr>
              <w:jc w:val="both"/>
            </w:pPr>
            <w:r>
              <w:t>Бенефициентите са длъжни да упоменат финансовия принос на Европейския фонд за регионално развитие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rsidR="008A62D7" w:rsidRDefault="008A62D7" w:rsidP="000E19F7">
            <w:pPr>
              <w:jc w:val="both"/>
            </w:pPr>
            <w:r>
              <w:t>По време на изпълнението на даден проект бенефициентът информира обществеността за получената от ЕФРР подкрепа като:</w:t>
            </w:r>
          </w:p>
          <w:p w:rsidR="008A62D7" w:rsidRDefault="008A62D7" w:rsidP="000E19F7">
            <w:pPr>
              <w:jc w:val="both"/>
            </w:pPr>
            <w: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rsidR="008A62D7" w:rsidRDefault="008A62D7" w:rsidP="000E19F7">
            <w:pPr>
              <w:jc w:val="both"/>
            </w:pPr>
            <w: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rsidR="008A62D7" w:rsidRDefault="008A62D7" w:rsidP="008A62D7">
            <w:r>
              <w:t>Плакатът следва да съдържа следната текстова и визуална информация:</w:t>
            </w:r>
          </w:p>
          <w:p w:rsidR="008A62D7" w:rsidRDefault="008A62D7" w:rsidP="008A62D7">
            <w:r>
              <w:t>-</w:t>
            </w:r>
            <w:r>
              <w:tab/>
              <w:t xml:space="preserve"> емблемата на ЕС и упоменаването „Европейски съюз“;</w:t>
            </w:r>
          </w:p>
          <w:p w:rsidR="008A62D7" w:rsidRDefault="008A62D7" w:rsidP="008A62D7">
            <w:r>
              <w:t>-</w:t>
            </w:r>
            <w:r>
              <w:tab/>
              <w:t xml:space="preserve"> наименованието на </w:t>
            </w:r>
            <w:proofErr w:type="spellStart"/>
            <w:r>
              <w:t>съфинансиращия</w:t>
            </w:r>
            <w:proofErr w:type="spellEnd"/>
            <w:r>
              <w:t xml:space="preserve"> фонд - Европейски фонд за регионално развитие;</w:t>
            </w:r>
          </w:p>
          <w:p w:rsidR="008A62D7" w:rsidRDefault="008A62D7" w:rsidP="008A62D7">
            <w:r>
              <w:t>-</w:t>
            </w:r>
            <w:r>
              <w:tab/>
              <w:t xml:space="preserve"> общото лого за програмен период 2014-2020 г.;</w:t>
            </w:r>
          </w:p>
          <w:p w:rsidR="008A62D7" w:rsidRDefault="008A62D7" w:rsidP="008A62D7">
            <w:r>
              <w:t>-</w:t>
            </w:r>
            <w:r>
              <w:tab/>
              <w:t xml:space="preserve"> наименованието на Оперативна програма „Иновации и конкурентоспособност” 2014-2020;</w:t>
            </w:r>
          </w:p>
          <w:p w:rsidR="008A62D7" w:rsidRDefault="008A62D7" w:rsidP="008A62D7">
            <w:r>
              <w:t>-</w:t>
            </w:r>
            <w:r>
              <w:tab/>
              <w:t xml:space="preserve"> наименованието на проекта;</w:t>
            </w:r>
          </w:p>
          <w:p w:rsidR="008A62D7" w:rsidRDefault="008A62D7" w:rsidP="008A62D7">
            <w:r>
              <w:lastRenderedPageBreak/>
              <w:t>-</w:t>
            </w:r>
            <w:r>
              <w:tab/>
              <w:t xml:space="preserve"> общата стойност на проекта, както и размера на европейското и националното съфинансиране, представени в български лева;</w:t>
            </w:r>
          </w:p>
          <w:p w:rsidR="008A62D7" w:rsidRDefault="008A62D7" w:rsidP="008A62D7">
            <w:r>
              <w:t>-</w:t>
            </w:r>
            <w:r>
              <w:tab/>
              <w:t xml:space="preserve"> начална и крайна дата на изпълнение на проекта.</w:t>
            </w:r>
          </w:p>
          <w:p w:rsidR="008A62D7" w:rsidRDefault="008A62D7" w:rsidP="000E19F7">
            <w:pPr>
              <w:jc w:val="both"/>
            </w:pPr>
            <w:r w:rsidRPr="00290F72">
              <w:rPr>
                <w:b/>
              </w:rPr>
              <w:t>Не по-късно от три месеца</w:t>
            </w:r>
            <w:r>
              <w:t xml:space="preserve"> след приключването на даден проект бенефициентът поставя </w:t>
            </w:r>
            <w:r w:rsidRPr="00290F72">
              <w:rPr>
                <w:b/>
              </w:rPr>
              <w:t>постоянна табела или билборд</w:t>
            </w:r>
            <w:r>
              <w:t xml:space="preserve"> (които заместват плаката) с големи размери на видимо за обществеността място за всеки проект, който изпълнява следните критерии:</w:t>
            </w:r>
          </w:p>
          <w:p w:rsidR="008A62D7" w:rsidRDefault="008A62D7" w:rsidP="000E19F7">
            <w:pPr>
              <w:jc w:val="both"/>
            </w:pPr>
            <w:r>
              <w:t>а) общата публична подкрепа за проекта надхвърля 500 000 евро; както и</w:t>
            </w:r>
          </w:p>
          <w:p w:rsidR="00262864" w:rsidRDefault="008A62D7" w:rsidP="000E19F7">
            <w:pPr>
              <w:jc w:val="both"/>
            </w:pPr>
            <w:r>
              <w:t>б) проектът се състои в закупуване на физически предмет (материален актив) или във финансиране на инфраструктура или на строителни работи.</w:t>
            </w:r>
          </w:p>
          <w:p w:rsidR="008A62D7" w:rsidRDefault="008A62D7" w:rsidP="000E19F7">
            <w:pPr>
              <w:jc w:val="both"/>
            </w:pPr>
            <w:r>
              <w:t>Постоянната табела или билбордът следва да съдържат същите задължителни елементи като плаката (описани по-горе) като емблемата на ЕС, упоменаването „Европейски съюз“ и наименованието на финансиращия фонд трябва да заемат минимум 25% от площта им. Те се изготвят в съответствие с техническите характеристики, приети от Европейската комисия.</w:t>
            </w:r>
          </w:p>
          <w:p w:rsidR="008A62D7" w:rsidRDefault="008A62D7" w:rsidP="000E19F7">
            <w:pPr>
              <w:jc w:val="both"/>
            </w:pPr>
            <w:r>
              <w:t>Емблемата на ЕС следва да е в съответствие с графичните стандарти, определени в приложение II от Регламент за изпълнение (ЕС) № 821/2014 на Комисията.</w:t>
            </w:r>
          </w:p>
          <w:p w:rsidR="008A62D7" w:rsidRDefault="008A62D7" w:rsidP="000E19F7">
            <w:pPr>
              <w:jc w:val="both"/>
            </w:pPr>
            <w:r>
              <w:t>В случаите на закупуване на оборудване е необходимо да се поставят стикери върху всеки актив, закупен по проекта, включващи информация за финансовия принос на ЕС чрез ОПИК.</w:t>
            </w:r>
          </w:p>
          <w:p w:rsidR="00181734" w:rsidRDefault="008A62D7" w:rsidP="00181734">
            <w:pPr>
              <w:jc w:val="both"/>
            </w:pPr>
            <w:r>
              <w:t>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на Управляващия орган</w:t>
            </w:r>
            <w:r w:rsidR="00181734">
              <w:t xml:space="preserve"> -</w:t>
            </w:r>
            <w:r w:rsidR="00181734" w:rsidRPr="00181734">
              <w:t>http://www.opcompetitiveness.bg/</w:t>
            </w:r>
            <w:r w:rsidR="00181734">
              <w:t xml:space="preserve"> .</w:t>
            </w:r>
          </w:p>
          <w:p w:rsidR="008A62D7" w:rsidRDefault="008A62D7" w:rsidP="00181734">
            <w:pPr>
              <w:jc w:val="both"/>
            </w:pPr>
            <w:r>
              <w:t>На същата страница могат да бъдат намерени и векторните варианти на логото на ОПИК.</w:t>
            </w:r>
          </w:p>
          <w:p w:rsidR="008A62D7" w:rsidRDefault="008A62D7" w:rsidP="008A62D7"/>
          <w:p w:rsidR="00262864" w:rsidRPr="008A62D7" w:rsidRDefault="008A62D7" w:rsidP="008A62D7">
            <w:pPr>
              <w:rPr>
                <w:b/>
              </w:rPr>
            </w:pPr>
            <w:r w:rsidRPr="008A62D7">
              <w:rPr>
                <w:b/>
              </w:rPr>
              <w:t>ВАЖНО: Неспазването на правилата за информиране и публичност (визуализация)може да доведе до непризнаване на част или на цялата стойност на извършените по проекта разходи.</w:t>
            </w:r>
          </w:p>
          <w:p w:rsidR="00262864" w:rsidRPr="008A62D7" w:rsidRDefault="00262864">
            <w:pPr>
              <w:rPr>
                <w:b/>
              </w:rPr>
            </w:pPr>
          </w:p>
          <w:p w:rsidR="008A62D7" w:rsidRPr="008A62D7" w:rsidRDefault="008A62D7" w:rsidP="008A62D7">
            <w:pPr>
              <w:rPr>
                <w:b/>
              </w:rPr>
            </w:pPr>
            <w:r w:rsidRPr="008A62D7">
              <w:rPr>
                <w:b/>
              </w:rPr>
              <w:t>4.</w:t>
            </w:r>
            <w:r w:rsidRPr="008A62D7">
              <w:rPr>
                <w:b/>
              </w:rPr>
              <w:tab/>
              <w:t>Приложения към Условията за изпълнение - списъкът не е изчерпателен.</w:t>
            </w:r>
          </w:p>
          <w:p w:rsidR="008A62D7" w:rsidRDefault="008A62D7" w:rsidP="008A62D7">
            <w:r>
              <w:t>Приложенията за процедурата  за подбор на проекти  са част от документацията по чл. 26, ал. 1 на ЗУСЕСИФ.</w:t>
            </w:r>
          </w:p>
          <w:p w:rsidR="008A62D7" w:rsidRDefault="008A62D7" w:rsidP="008A62D7"/>
          <w:p w:rsidR="008A62D7" w:rsidRDefault="008A62D7" w:rsidP="00290F72">
            <w:pPr>
              <w:pStyle w:val="a4"/>
              <w:numPr>
                <w:ilvl w:val="0"/>
                <w:numId w:val="1"/>
              </w:numPr>
            </w:pPr>
            <w:r>
              <w:t>Декларация за съгласие данните на кандидата да бъдат предоставени от НСИ на УО на ОПИК по служебен път</w:t>
            </w:r>
          </w:p>
          <w:p w:rsidR="008A62D7" w:rsidRDefault="008A62D7" w:rsidP="00290F72">
            <w:pPr>
              <w:pStyle w:val="a4"/>
              <w:numPr>
                <w:ilvl w:val="0"/>
                <w:numId w:val="1"/>
              </w:numPr>
            </w:pPr>
            <w:r>
              <w:t>Административен договор за предоставяне на безвъзмездна финансова помощ по ОПИК</w:t>
            </w:r>
          </w:p>
          <w:p w:rsidR="008A62D7" w:rsidRDefault="008A62D7" w:rsidP="00290F72">
            <w:pPr>
              <w:pStyle w:val="a4"/>
              <w:numPr>
                <w:ilvl w:val="0"/>
                <w:numId w:val="1"/>
              </w:numPr>
            </w:pPr>
            <w:r>
              <w:t>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w:t>
            </w:r>
          </w:p>
          <w:p w:rsidR="008A62D7" w:rsidRDefault="008A62D7" w:rsidP="00290F72">
            <w:pPr>
              <w:pStyle w:val="a4"/>
              <w:numPr>
                <w:ilvl w:val="0"/>
                <w:numId w:val="1"/>
              </w:numPr>
            </w:pPr>
            <w:r>
              <w:t>Декларация за нередности</w:t>
            </w:r>
          </w:p>
          <w:p w:rsidR="00262864" w:rsidRDefault="008A62D7" w:rsidP="00290F72">
            <w:pPr>
              <w:pStyle w:val="a4"/>
              <w:numPr>
                <w:ilvl w:val="0"/>
                <w:numId w:val="1"/>
              </w:numPr>
            </w:pPr>
            <w:r>
              <w:t>Банкова гаранция</w:t>
            </w:r>
          </w:p>
          <w:p w:rsidR="005575F1" w:rsidRDefault="008A62D7" w:rsidP="005575F1">
            <w:pPr>
              <w:pStyle w:val="a4"/>
              <w:numPr>
                <w:ilvl w:val="0"/>
                <w:numId w:val="1"/>
              </w:numPr>
            </w:pPr>
            <w:r w:rsidRPr="008A62D7">
              <w:t xml:space="preserve">Заявление за профил за достъп на ръководител на бенефициента до ИСУН 2020 </w:t>
            </w:r>
          </w:p>
          <w:p w:rsidR="00262864" w:rsidRDefault="008A62D7" w:rsidP="005575F1">
            <w:pPr>
              <w:pStyle w:val="a4"/>
              <w:numPr>
                <w:ilvl w:val="0"/>
                <w:numId w:val="1"/>
              </w:numPr>
            </w:pPr>
            <w:r w:rsidRPr="008A62D7">
              <w:t>Заявление за профил за достъп на упълномощени от бенефициента лица до ИСУН 2020 ДНФ № 3/23.12.2016 на Министерство на финансите относно третиране на ДДС Декларация за участие</w:t>
            </w:r>
            <w:r w:rsidR="00A4377C">
              <w:t xml:space="preserve"> </w:t>
            </w:r>
            <w:r w:rsidR="00A4377C" w:rsidRPr="00A4377C">
              <w:t>в изпълнението на проект</w:t>
            </w:r>
            <w:r w:rsidR="00A4377C">
              <w:t>.</w:t>
            </w:r>
          </w:p>
          <w:p w:rsidR="00262864" w:rsidRDefault="00262864"/>
        </w:tc>
      </w:tr>
    </w:tbl>
    <w:p w:rsidR="00A4377C" w:rsidRDefault="00A4377C">
      <w:pPr>
        <w:pBdr>
          <w:bottom w:val="single" w:sz="6" w:space="1" w:color="auto"/>
        </w:pBdr>
        <w:rPr>
          <w:b/>
        </w:rPr>
      </w:pPr>
    </w:p>
    <w:p w:rsidR="00A4377C" w:rsidRPr="00A6489C" w:rsidRDefault="00A4377C" w:rsidP="000E19F7">
      <w:pPr>
        <w:jc w:val="both"/>
        <w:rPr>
          <w:rFonts w:ascii="Times New Roman" w:hAnsi="Times New Roman" w:cs="Times New Roman"/>
          <w:sz w:val="24"/>
          <w:szCs w:val="24"/>
        </w:rPr>
      </w:pPr>
    </w:p>
    <w:sectPr w:rsidR="00A4377C" w:rsidRPr="00A648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9BB" w:rsidRDefault="004E79BB" w:rsidP="000E19F7">
      <w:pPr>
        <w:spacing w:after="0" w:line="240" w:lineRule="auto"/>
      </w:pPr>
      <w:r>
        <w:separator/>
      </w:r>
    </w:p>
  </w:endnote>
  <w:endnote w:type="continuationSeparator" w:id="0">
    <w:p w:rsidR="004E79BB" w:rsidRDefault="004E79BB" w:rsidP="000E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29117"/>
      <w:docPartObj>
        <w:docPartGallery w:val="Page Numbers (Bottom of Page)"/>
        <w:docPartUnique/>
      </w:docPartObj>
    </w:sdtPr>
    <w:sdtEndPr/>
    <w:sdtContent>
      <w:p w:rsidR="005E4413" w:rsidRDefault="005E4413">
        <w:pPr>
          <w:pStyle w:val="a7"/>
          <w:jc w:val="center"/>
        </w:pPr>
        <w:r>
          <w:fldChar w:fldCharType="begin"/>
        </w:r>
        <w:r>
          <w:instrText>PAGE   \* MERGEFORMAT</w:instrText>
        </w:r>
        <w:r>
          <w:fldChar w:fldCharType="separate"/>
        </w:r>
        <w:r w:rsidR="005575F1">
          <w:rPr>
            <w:noProof/>
          </w:rPr>
          <w:t>7</w:t>
        </w:r>
        <w:r>
          <w:fldChar w:fldCharType="end"/>
        </w:r>
      </w:p>
    </w:sdtContent>
  </w:sdt>
  <w:p w:rsidR="005E4413" w:rsidRDefault="005E44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9BB" w:rsidRDefault="004E79BB" w:rsidP="000E19F7">
      <w:pPr>
        <w:spacing w:after="0" w:line="240" w:lineRule="auto"/>
      </w:pPr>
      <w:r>
        <w:separator/>
      </w:r>
    </w:p>
  </w:footnote>
  <w:footnote w:type="continuationSeparator" w:id="0">
    <w:p w:rsidR="004E79BB" w:rsidRDefault="004E79BB" w:rsidP="000E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9F7" w:rsidRDefault="000E19F7" w:rsidP="000E19F7">
    <w:pPr>
      <w:spacing w:after="0" w:line="240" w:lineRule="auto"/>
      <w:ind w:left="-426" w:right="-1180"/>
      <w:rPr>
        <w:rFonts w:eastAsia="Calibri"/>
        <w:b/>
        <w:i/>
        <w:iCs/>
        <w:noProof/>
        <w:sz w:val="16"/>
        <w:szCs w:val="16"/>
      </w:rPr>
    </w:pPr>
    <w:r w:rsidRPr="006C3D2C">
      <w:rPr>
        <w:rFonts w:ascii="Times New Roman" w:hAnsi="Times New Roman"/>
        <w:noProof/>
        <w:sz w:val="24"/>
        <w:lang w:eastAsia="bg-BG"/>
      </w:rPr>
      <w:drawing>
        <wp:inline distT="0" distB="0" distL="0" distR="0" wp14:anchorId="29276313" wp14:editId="6710A997">
          <wp:extent cx="1076325" cy="990600"/>
          <wp:effectExtent l="0" t="0" r="9525" b="0"/>
          <wp:docPr id="68" name="Картина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Pr>
        <w:rFonts w:eastAsia="Calibri"/>
        <w:b/>
        <w:i/>
        <w:iCs/>
        <w:noProof/>
        <w:sz w:val="16"/>
        <w:szCs w:val="16"/>
        <w:lang w:val="en-US"/>
      </w:rPr>
      <w:t xml:space="preserve"> </w:t>
    </w:r>
    <w:r>
      <w:rPr>
        <w:rFonts w:eastAsia="Calibri"/>
        <w:b/>
        <w:i/>
        <w:iCs/>
        <w:noProof/>
        <w:sz w:val="16"/>
        <w:szCs w:val="16"/>
      </w:rPr>
      <w:t xml:space="preserve">                                                                         </w:t>
    </w:r>
    <w:r w:rsidRPr="008E6205">
      <w:rPr>
        <w:rFonts w:eastAsia="Calibri"/>
        <w:b/>
        <w:i/>
        <w:iCs/>
        <w:noProof/>
        <w:sz w:val="16"/>
        <w:szCs w:val="16"/>
        <w:lang w:eastAsia="bg-BG"/>
      </w:rPr>
      <w:drawing>
        <wp:inline distT="0" distB="0" distL="0" distR="0" wp14:anchorId="0546EFF5" wp14:editId="0D704547">
          <wp:extent cx="761365" cy="962025"/>
          <wp:effectExtent l="0" t="0" r="635" b="0"/>
          <wp:docPr id="69" name="Картина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43" cy="964145"/>
                  </a:xfrm>
                  <a:prstGeom prst="rect">
                    <a:avLst/>
                  </a:prstGeom>
                  <a:noFill/>
                </pic:spPr>
              </pic:pic>
            </a:graphicData>
          </a:graphic>
        </wp:inline>
      </w:drawing>
    </w:r>
    <w:r>
      <w:rPr>
        <w:rFonts w:eastAsia="Calibri"/>
        <w:b/>
        <w:i/>
        <w:iCs/>
        <w:noProof/>
        <w:sz w:val="16"/>
        <w:szCs w:val="16"/>
      </w:rPr>
      <w:t xml:space="preserve">                                                            </w:t>
    </w:r>
    <w:r w:rsidRPr="003E1483">
      <w:rPr>
        <w:rFonts w:ascii="Calibri" w:eastAsia="Times New Roman" w:hAnsi="Calibri" w:cs="Times New Roman"/>
        <w:noProof/>
        <w:lang w:eastAsia="bg-BG"/>
      </w:rPr>
      <w:drawing>
        <wp:inline distT="0" distB="0" distL="0" distR="0" wp14:anchorId="271E5BE8" wp14:editId="52B8A614">
          <wp:extent cx="1513840" cy="981075"/>
          <wp:effectExtent l="0" t="0" r="0" b="9525"/>
          <wp:docPr id="70" name="Картина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7035" t="15169" r="15656" b="63324"/>
                  <a:stretch>
                    <a:fillRect/>
                  </a:stretch>
                </pic:blipFill>
                <pic:spPr bwMode="auto">
                  <a:xfrm>
                    <a:off x="0" y="0"/>
                    <a:ext cx="1517587" cy="983503"/>
                  </a:xfrm>
                  <a:prstGeom prst="rect">
                    <a:avLst/>
                  </a:prstGeom>
                  <a:noFill/>
                  <a:ln>
                    <a:noFill/>
                  </a:ln>
                </pic:spPr>
              </pic:pic>
            </a:graphicData>
          </a:graphic>
        </wp:inline>
      </w:drawing>
    </w:r>
  </w:p>
  <w:p w:rsidR="000E19F7" w:rsidRDefault="000E19F7" w:rsidP="000E19F7">
    <w:pPr>
      <w:spacing w:after="0" w:line="240" w:lineRule="auto"/>
      <w:ind w:left="2124" w:firstLine="708"/>
      <w:jc w:val="both"/>
      <w:rPr>
        <w:b/>
        <w:noProof/>
        <w:sz w:val="12"/>
        <w:szCs w:val="12"/>
      </w:rPr>
    </w:pPr>
    <w:r>
      <w:rPr>
        <w:rFonts w:eastAsia="Calibri" w:cs="Calibri"/>
        <w:b/>
        <w:iCs/>
        <w:sz w:val="12"/>
        <w:szCs w:val="12"/>
      </w:rPr>
      <w:t xml:space="preserve">                   </w:t>
    </w:r>
    <w:r w:rsidRPr="009B7F0D">
      <w:rPr>
        <w:rFonts w:eastAsia="Calibri" w:cs="Calibri"/>
        <w:b/>
        <w:iCs/>
        <w:sz w:val="12"/>
        <w:szCs w:val="12"/>
      </w:rPr>
      <w:t>ВОДЕНО ОТ ОБЩНОСТИТЕ МЕСТНО</w:t>
    </w:r>
    <w:r w:rsidRPr="009B7F0D">
      <w:rPr>
        <w:noProof/>
        <w:sz w:val="12"/>
        <w:szCs w:val="12"/>
        <w:lang w:val="en-US"/>
      </w:rPr>
      <w:t xml:space="preserve"> </w:t>
    </w:r>
    <w:r w:rsidRPr="006137F3">
      <w:rPr>
        <w:b/>
        <w:noProof/>
        <w:sz w:val="12"/>
        <w:szCs w:val="12"/>
      </w:rPr>
      <w:t>РАЗВИТИЕ</w:t>
    </w:r>
  </w:p>
  <w:p w:rsidR="000E19F7" w:rsidRDefault="000E19F7" w:rsidP="000E19F7">
    <w:pPr>
      <w:spacing w:after="0" w:line="240" w:lineRule="auto"/>
      <w:ind w:left="2124" w:firstLine="708"/>
      <w:jc w:val="both"/>
      <w:rPr>
        <w:noProof/>
        <w:lang w:val="en-US"/>
      </w:rPr>
    </w:pPr>
    <w:r>
      <w:rPr>
        <w:b/>
        <w:noProof/>
        <w:sz w:val="12"/>
        <w:szCs w:val="12"/>
      </w:rPr>
      <w:t xml:space="preserve">                             </w:t>
    </w:r>
    <w:r w:rsidRPr="006137F3">
      <w:rPr>
        <w:b/>
        <w:noProof/>
        <w:sz w:val="12"/>
        <w:szCs w:val="12"/>
      </w:rPr>
      <w:t>М</w:t>
    </w:r>
    <w:r>
      <w:rPr>
        <w:b/>
        <w:noProof/>
        <w:sz w:val="12"/>
        <w:szCs w:val="12"/>
      </w:rPr>
      <w:t>ЕСТНА ИНИЦИАТИВНА ГРУПА -</w:t>
    </w:r>
    <w:r w:rsidRPr="006137F3">
      <w:rPr>
        <w:b/>
        <w:noProof/>
        <w:sz w:val="12"/>
        <w:szCs w:val="12"/>
      </w:rPr>
      <w:t xml:space="preserve"> ЛОМ</w:t>
    </w:r>
  </w:p>
  <w:p w:rsidR="000E19F7" w:rsidRDefault="000E19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D00"/>
    <w:multiLevelType w:val="hybridMultilevel"/>
    <w:tmpl w:val="8B9451C6"/>
    <w:lvl w:ilvl="0" w:tplc="D13A5DE4">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28"/>
    <w:rsid w:val="0000338A"/>
    <w:rsid w:val="000E19F7"/>
    <w:rsid w:val="00146FC6"/>
    <w:rsid w:val="00181734"/>
    <w:rsid w:val="00240B78"/>
    <w:rsid w:val="00256CFF"/>
    <w:rsid w:val="00262864"/>
    <w:rsid w:val="00290F72"/>
    <w:rsid w:val="004009C9"/>
    <w:rsid w:val="004C0117"/>
    <w:rsid w:val="004E79BB"/>
    <w:rsid w:val="004F07D5"/>
    <w:rsid w:val="005575F1"/>
    <w:rsid w:val="005B012B"/>
    <w:rsid w:val="005E4413"/>
    <w:rsid w:val="00656468"/>
    <w:rsid w:val="006A72FD"/>
    <w:rsid w:val="00730025"/>
    <w:rsid w:val="008A62D7"/>
    <w:rsid w:val="00915F90"/>
    <w:rsid w:val="00973513"/>
    <w:rsid w:val="00A4377C"/>
    <w:rsid w:val="00A50853"/>
    <w:rsid w:val="00A6489C"/>
    <w:rsid w:val="00A67A96"/>
    <w:rsid w:val="00B47CD9"/>
    <w:rsid w:val="00B96074"/>
    <w:rsid w:val="00BD31DE"/>
    <w:rsid w:val="00C3495B"/>
    <w:rsid w:val="00C86563"/>
    <w:rsid w:val="00DA232C"/>
    <w:rsid w:val="00E01728"/>
    <w:rsid w:val="00E369D5"/>
    <w:rsid w:val="00E8465B"/>
    <w:rsid w:val="00EE2E59"/>
    <w:rsid w:val="00F707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C628E-1B48-429C-BA59-9D5BAF54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F72"/>
    <w:pPr>
      <w:ind w:left="720"/>
      <w:contextualSpacing/>
    </w:pPr>
  </w:style>
  <w:style w:type="paragraph" w:styleId="a5">
    <w:name w:val="header"/>
    <w:basedOn w:val="a"/>
    <w:link w:val="a6"/>
    <w:uiPriority w:val="99"/>
    <w:unhideWhenUsed/>
    <w:rsid w:val="000E19F7"/>
    <w:pPr>
      <w:tabs>
        <w:tab w:val="center" w:pos="4513"/>
        <w:tab w:val="right" w:pos="9026"/>
      </w:tabs>
      <w:spacing w:after="0" w:line="240" w:lineRule="auto"/>
    </w:pPr>
  </w:style>
  <w:style w:type="character" w:customStyle="1" w:styleId="a6">
    <w:name w:val="Горен колонтитул Знак"/>
    <w:basedOn w:val="a0"/>
    <w:link w:val="a5"/>
    <w:uiPriority w:val="99"/>
    <w:rsid w:val="000E19F7"/>
  </w:style>
  <w:style w:type="paragraph" w:styleId="a7">
    <w:name w:val="footer"/>
    <w:basedOn w:val="a"/>
    <w:link w:val="a8"/>
    <w:uiPriority w:val="99"/>
    <w:unhideWhenUsed/>
    <w:rsid w:val="000E19F7"/>
    <w:pPr>
      <w:tabs>
        <w:tab w:val="center" w:pos="4513"/>
        <w:tab w:val="right" w:pos="9026"/>
      </w:tabs>
      <w:spacing w:after="0" w:line="240" w:lineRule="auto"/>
    </w:pPr>
  </w:style>
  <w:style w:type="character" w:customStyle="1" w:styleId="a8">
    <w:name w:val="Долен колонтитул Знак"/>
    <w:basedOn w:val="a0"/>
    <w:link w:val="a7"/>
    <w:uiPriority w:val="99"/>
    <w:rsid w:val="000E19F7"/>
  </w:style>
  <w:style w:type="paragraph" w:styleId="a9">
    <w:name w:val="Balloon Text"/>
    <w:basedOn w:val="a"/>
    <w:link w:val="aa"/>
    <w:uiPriority w:val="99"/>
    <w:semiHidden/>
    <w:unhideWhenUsed/>
    <w:rsid w:val="00A67A96"/>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67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567A-677B-4CB5-BE1D-49F689E3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18154</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dc:creator>
  <cp:lastModifiedBy>Krasa</cp:lastModifiedBy>
  <cp:revision>2</cp:revision>
  <dcterms:created xsi:type="dcterms:W3CDTF">2018-09-21T07:06:00Z</dcterms:created>
  <dcterms:modified xsi:type="dcterms:W3CDTF">2018-09-21T07:06:00Z</dcterms:modified>
</cp:coreProperties>
</file>