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44" w:rsidRPr="006C7D44" w:rsidRDefault="006C7D44" w:rsidP="006C7D44">
      <w:pPr>
        <w:rPr>
          <w:sz w:val="24"/>
          <w:szCs w:val="24"/>
        </w:rPr>
      </w:pPr>
      <w:r w:rsidRPr="006C7D44">
        <w:rPr>
          <w:noProof/>
          <w:sz w:val="24"/>
          <w:szCs w:val="24"/>
        </w:rPr>
        <w:drawing>
          <wp:inline distT="0" distB="0" distL="0" distR="0">
            <wp:extent cx="8953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r w:rsidRPr="006C7D44">
        <w:rPr>
          <w:sz w:val="24"/>
          <w:szCs w:val="24"/>
        </w:rPr>
        <w:t xml:space="preserve">            </w:t>
      </w:r>
      <w:r w:rsidRPr="006C7D44">
        <w:rPr>
          <w:noProof/>
          <w:sz w:val="24"/>
          <w:szCs w:val="24"/>
        </w:rPr>
        <w:drawing>
          <wp:inline distT="0" distB="0" distL="0" distR="0">
            <wp:extent cx="962025" cy="542925"/>
            <wp:effectExtent l="0" t="0" r="9525" b="9525"/>
            <wp:docPr id="8" name="Picture 8" descr="лого–мз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ого–мзх"/>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r w:rsidRPr="006C7D44">
        <w:rPr>
          <w:i/>
          <w:sz w:val="24"/>
          <w:szCs w:val="24"/>
        </w:rPr>
        <w:t xml:space="preserve">            </w:t>
      </w:r>
      <w:r w:rsidRPr="006C7D44">
        <w:rPr>
          <w:i/>
          <w:noProof/>
          <w:sz w:val="24"/>
          <w:szCs w:val="24"/>
        </w:rPr>
        <w:drawing>
          <wp:inline distT="0" distB="0" distL="0" distR="0">
            <wp:extent cx="7620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r w:rsidRPr="006C7D44">
        <w:rPr>
          <w:i/>
          <w:sz w:val="24"/>
          <w:szCs w:val="24"/>
        </w:rPr>
        <w:t xml:space="preserve">       </w:t>
      </w:r>
      <w:r>
        <w:rPr>
          <w:i/>
          <w:sz w:val="24"/>
          <w:szCs w:val="24"/>
        </w:rPr>
        <w:t xml:space="preserve">    </w:t>
      </w:r>
      <w:r w:rsidRPr="006C7D44">
        <w:rPr>
          <w:i/>
          <w:noProof/>
          <w:sz w:val="24"/>
          <w:szCs w:val="24"/>
        </w:rPr>
        <w:drawing>
          <wp:inline distT="0" distB="0" distL="0" distR="0">
            <wp:extent cx="1685925" cy="721419"/>
            <wp:effectExtent l="0" t="0" r="0" b="2540"/>
            <wp:docPr id="6" name="Picture 6"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logo PRSR2014-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384" cy="730174"/>
                    </a:xfrm>
                    <a:prstGeom prst="rect">
                      <a:avLst/>
                    </a:prstGeom>
                    <a:noFill/>
                    <a:ln>
                      <a:noFill/>
                    </a:ln>
                  </pic:spPr>
                </pic:pic>
              </a:graphicData>
            </a:graphic>
          </wp:inline>
        </w:drawing>
      </w:r>
    </w:p>
    <w:p w:rsidR="006C7D44" w:rsidRPr="006C7D44" w:rsidRDefault="006C7D44" w:rsidP="006C7D44">
      <w:pPr>
        <w:jc w:val="center"/>
        <w:rPr>
          <w:b/>
          <w:iCs/>
        </w:rPr>
      </w:pPr>
      <w:r w:rsidRPr="006C7D44">
        <w:rPr>
          <w:b/>
          <w:iCs/>
          <w:lang w:val="ru-RU"/>
        </w:rPr>
        <w:t>Европейски земеделски фонд за развитие на селските райони – Европа инвестира в селските райони</w:t>
      </w:r>
    </w:p>
    <w:p w:rsidR="006C7D44" w:rsidRPr="006C7D44" w:rsidRDefault="006C7D44" w:rsidP="006C7D44">
      <w:pPr>
        <w:jc w:val="center"/>
        <w:rPr>
          <w:b/>
          <w:lang w:val="ru-RU"/>
        </w:rPr>
      </w:pPr>
      <w:r w:rsidRPr="006C7D44">
        <w:rPr>
          <w:b/>
          <w:lang w:val="ru-RU"/>
        </w:rPr>
        <w:t>ПРОГРАМА ЗА РАЗВИТИЕ НА СЕЛСКИТЕ РАЙОНИ   2014 – 2020 г.</w:t>
      </w:r>
    </w:p>
    <w:p w:rsidR="00B33B36" w:rsidRPr="006C7D44" w:rsidRDefault="00B33B36" w:rsidP="006C7D44">
      <w:pPr>
        <w:rPr>
          <w:sz w:val="24"/>
          <w:szCs w:val="24"/>
          <w:lang w:val="en-US"/>
        </w:rPr>
      </w:pPr>
    </w:p>
    <w:p w:rsidR="00B33B36" w:rsidRDefault="00B33B36">
      <w:pPr>
        <w:rPr>
          <w:sz w:val="24"/>
          <w:szCs w:val="24"/>
          <w:lang w:val="en-US"/>
        </w:rPr>
      </w:pPr>
    </w:p>
    <w:p w:rsidR="00B33B36" w:rsidRDefault="00B33B36">
      <w:pPr>
        <w:rPr>
          <w:sz w:val="24"/>
          <w:szCs w:val="24"/>
          <w:lang w:val="en-US"/>
        </w:rPr>
      </w:pPr>
    </w:p>
    <w:p w:rsidR="00B33B36" w:rsidRDefault="00B33B36">
      <w:pPr>
        <w:rPr>
          <w:sz w:val="24"/>
          <w:szCs w:val="24"/>
          <w:lang w:val="en-US"/>
        </w:rPr>
      </w:pPr>
    </w:p>
    <w:p w:rsidR="00B33B36" w:rsidRDefault="00CB0D98">
      <w:pPr>
        <w:rPr>
          <w:sz w:val="24"/>
          <w:szCs w:val="24"/>
        </w:rPr>
      </w:pPr>
      <w:r>
        <w:rPr>
          <w:sz w:val="24"/>
          <w:szCs w:val="24"/>
        </w:rPr>
        <w:t>Утвърдил:…….../П/</w:t>
      </w:r>
    </w:p>
    <w:p w:rsidR="00B33B36" w:rsidRDefault="00371D29">
      <w:pPr>
        <w:rPr>
          <w:sz w:val="24"/>
          <w:szCs w:val="24"/>
        </w:rPr>
      </w:pPr>
      <w:r>
        <w:rPr>
          <w:sz w:val="24"/>
          <w:szCs w:val="24"/>
        </w:rPr>
        <w:t xml:space="preserve">                     / /</w:t>
      </w:r>
    </w:p>
    <w:p w:rsidR="00B33B36" w:rsidRDefault="00371D29">
      <w:pPr>
        <w:rPr>
          <w:sz w:val="24"/>
          <w:szCs w:val="24"/>
        </w:rPr>
      </w:pPr>
      <w:r>
        <w:rPr>
          <w:sz w:val="24"/>
          <w:szCs w:val="24"/>
        </w:rPr>
        <w:t>Председател на УС на МИГ ПРЕСПА – общини Баните, Лъки и Чепеларе</w:t>
      </w:r>
    </w:p>
    <w:p w:rsidR="00B33B36" w:rsidRDefault="00B33B36">
      <w:pPr>
        <w:jc w:val="center"/>
        <w:rPr>
          <w:b/>
          <w:sz w:val="28"/>
          <w:szCs w:val="24"/>
        </w:rPr>
      </w:pPr>
    </w:p>
    <w:p w:rsidR="00B33B36" w:rsidRDefault="00B33B36">
      <w:pPr>
        <w:jc w:val="center"/>
        <w:rPr>
          <w:b/>
          <w:sz w:val="28"/>
          <w:szCs w:val="24"/>
        </w:rPr>
      </w:pPr>
    </w:p>
    <w:p w:rsidR="00B33B36" w:rsidRDefault="00B33B36">
      <w:pPr>
        <w:jc w:val="center"/>
        <w:rPr>
          <w:b/>
          <w:sz w:val="28"/>
          <w:szCs w:val="24"/>
        </w:rPr>
      </w:pPr>
    </w:p>
    <w:p w:rsidR="00B33B36" w:rsidRPr="007E62DB" w:rsidRDefault="00B33B36">
      <w:pPr>
        <w:jc w:val="center"/>
        <w:rPr>
          <w:b/>
          <w:sz w:val="24"/>
          <w:szCs w:val="24"/>
        </w:rPr>
      </w:pPr>
    </w:p>
    <w:p w:rsidR="00B33B36" w:rsidRPr="007E62DB" w:rsidRDefault="00B33B36">
      <w:pPr>
        <w:rPr>
          <w:sz w:val="24"/>
          <w:szCs w:val="24"/>
        </w:rPr>
      </w:pPr>
    </w:p>
    <w:p w:rsidR="00B33B36" w:rsidRPr="007E62DB" w:rsidRDefault="00B33B36">
      <w:pPr>
        <w:rPr>
          <w:sz w:val="24"/>
          <w:szCs w:val="24"/>
        </w:rPr>
      </w:pPr>
    </w:p>
    <w:p w:rsidR="00B33B36" w:rsidRPr="007E62DB" w:rsidRDefault="00B33B36">
      <w:pPr>
        <w:rPr>
          <w:sz w:val="24"/>
          <w:szCs w:val="24"/>
        </w:rPr>
      </w:pPr>
    </w:p>
    <w:p w:rsidR="007E62DB" w:rsidRPr="007E62DB" w:rsidRDefault="007E62DB" w:rsidP="007E62DB">
      <w:pPr>
        <w:spacing w:line="360" w:lineRule="auto"/>
        <w:ind w:right="-2"/>
        <w:jc w:val="center"/>
        <w:rPr>
          <w:b/>
          <w:sz w:val="32"/>
          <w:szCs w:val="32"/>
        </w:rPr>
      </w:pPr>
      <w:r w:rsidRPr="007E62DB">
        <w:rPr>
          <w:b/>
          <w:sz w:val="32"/>
          <w:szCs w:val="32"/>
        </w:rPr>
        <w:t>УСЛОВИЯ ЗА КАНДИДАТСТВАНЕ</w:t>
      </w:r>
    </w:p>
    <w:p w:rsidR="007E62DB" w:rsidRPr="007E62DB" w:rsidRDefault="007E62DB" w:rsidP="007E62DB">
      <w:pPr>
        <w:spacing w:line="360" w:lineRule="auto"/>
        <w:ind w:right="-2"/>
        <w:jc w:val="center"/>
        <w:rPr>
          <w:b/>
          <w:sz w:val="24"/>
          <w:szCs w:val="24"/>
        </w:rPr>
      </w:pPr>
      <w:r w:rsidRPr="007E62DB">
        <w:rPr>
          <w:b/>
          <w:sz w:val="24"/>
          <w:szCs w:val="24"/>
        </w:rPr>
        <w:t xml:space="preserve">с проектни предложения за предоставяне на безвъзмездна финансова помощ по </w:t>
      </w:r>
    </w:p>
    <w:p w:rsidR="007E62DB" w:rsidRPr="007E62DB" w:rsidRDefault="007E62DB" w:rsidP="007E62DB">
      <w:pPr>
        <w:spacing w:line="360" w:lineRule="auto"/>
        <w:ind w:right="-2"/>
        <w:jc w:val="center"/>
        <w:rPr>
          <w:b/>
          <w:sz w:val="24"/>
          <w:szCs w:val="24"/>
        </w:rPr>
      </w:pPr>
      <w:r w:rsidRPr="007E62DB">
        <w:rPr>
          <w:b/>
          <w:sz w:val="24"/>
          <w:szCs w:val="24"/>
        </w:rPr>
        <w:t>ПРОГРАМА ЗА РАЗВИТИЕ НА СЕЛСКИТЕ РАЙОНИ 2014 – 2020 г.</w:t>
      </w:r>
    </w:p>
    <w:p w:rsidR="007E62DB" w:rsidRPr="007E62DB" w:rsidRDefault="007E62DB" w:rsidP="007E62DB">
      <w:pPr>
        <w:spacing w:line="360" w:lineRule="auto"/>
        <w:ind w:right="-2"/>
        <w:jc w:val="center"/>
        <w:rPr>
          <w:b/>
          <w:sz w:val="24"/>
          <w:szCs w:val="24"/>
        </w:rPr>
      </w:pPr>
    </w:p>
    <w:p w:rsidR="007E62DB" w:rsidRPr="007E62DB" w:rsidRDefault="007E62DB" w:rsidP="007E62DB">
      <w:pPr>
        <w:spacing w:line="252" w:lineRule="auto"/>
        <w:ind w:right="-2"/>
        <w:jc w:val="center"/>
        <w:rPr>
          <w:b/>
          <w:sz w:val="24"/>
          <w:szCs w:val="24"/>
        </w:rPr>
      </w:pPr>
    </w:p>
    <w:p w:rsidR="007E62DB" w:rsidRPr="007E62DB" w:rsidRDefault="007E62DB" w:rsidP="007E62DB">
      <w:pPr>
        <w:spacing w:line="360" w:lineRule="auto"/>
        <w:ind w:right="-2"/>
        <w:jc w:val="center"/>
        <w:rPr>
          <w:b/>
          <w:sz w:val="24"/>
          <w:szCs w:val="24"/>
        </w:rPr>
      </w:pPr>
      <w:r>
        <w:rPr>
          <w:b/>
          <w:sz w:val="24"/>
          <w:szCs w:val="24"/>
        </w:rPr>
        <w:t>Процедура з</w:t>
      </w:r>
      <w:r w:rsidRPr="007E62DB">
        <w:rPr>
          <w:b/>
          <w:sz w:val="24"/>
          <w:szCs w:val="24"/>
        </w:rPr>
        <w:t xml:space="preserve">а подбор на проекти </w:t>
      </w:r>
    </w:p>
    <w:p w:rsidR="007E62DB" w:rsidRPr="007E62DB" w:rsidRDefault="007E62DB" w:rsidP="007E62DB">
      <w:pPr>
        <w:jc w:val="center"/>
        <w:rPr>
          <w:b/>
          <w:sz w:val="24"/>
          <w:szCs w:val="24"/>
          <w:lang w:val="en-US"/>
        </w:rPr>
      </w:pPr>
      <w:r w:rsidRPr="007E62DB">
        <w:rPr>
          <w:b/>
          <w:sz w:val="24"/>
          <w:szCs w:val="24"/>
        </w:rPr>
        <w:t>№ BG06RDNP001-19.</w:t>
      </w:r>
      <w:r w:rsidRPr="007E62DB">
        <w:rPr>
          <w:b/>
          <w:sz w:val="24"/>
          <w:szCs w:val="24"/>
          <w:lang w:val="en-US"/>
        </w:rPr>
        <w:t>469</w:t>
      </w:r>
    </w:p>
    <w:p w:rsidR="007E62DB" w:rsidRPr="007E62DB" w:rsidRDefault="007E62DB" w:rsidP="007E62DB">
      <w:pPr>
        <w:jc w:val="center"/>
        <w:rPr>
          <w:b/>
          <w:sz w:val="24"/>
          <w:szCs w:val="24"/>
        </w:rPr>
      </w:pPr>
      <w:r w:rsidRPr="007E62DB">
        <w:rPr>
          <w:b/>
          <w:sz w:val="24"/>
          <w:szCs w:val="24"/>
        </w:rPr>
        <w:t>МИГ ПРЕСПА – общини Баните, Лъки и Чепеларе</w:t>
      </w:r>
    </w:p>
    <w:p w:rsidR="007E62DB" w:rsidRPr="007E62DB" w:rsidRDefault="007E62DB" w:rsidP="007E62DB">
      <w:pPr>
        <w:jc w:val="center"/>
        <w:rPr>
          <w:b/>
          <w:sz w:val="24"/>
          <w:szCs w:val="24"/>
          <w:lang w:val="en-US"/>
        </w:rPr>
      </w:pPr>
    </w:p>
    <w:p w:rsidR="00B33B36" w:rsidRPr="007E62DB" w:rsidRDefault="007E62DB">
      <w:pPr>
        <w:spacing w:line="360" w:lineRule="auto"/>
        <w:ind w:right="-2"/>
        <w:jc w:val="center"/>
        <w:rPr>
          <w:b/>
          <w:sz w:val="24"/>
          <w:szCs w:val="24"/>
        </w:rPr>
      </w:pPr>
      <w:r w:rsidRPr="007E62DB">
        <w:rPr>
          <w:b/>
          <w:sz w:val="24"/>
          <w:szCs w:val="24"/>
          <w:shd w:val="clear" w:color="auto" w:fill="FFFFFF"/>
        </w:rPr>
        <w:t>подмярка 7.2. "Инвестиции в създаването, подобряването или разширяването на всички видове малка по мащаби инфраструктура"</w:t>
      </w:r>
    </w:p>
    <w:p w:rsidR="00B33B36" w:rsidRDefault="00B33B36">
      <w:pPr>
        <w:spacing w:line="252" w:lineRule="auto"/>
        <w:ind w:right="-2"/>
        <w:jc w:val="center"/>
        <w:rPr>
          <w:b/>
          <w:sz w:val="28"/>
          <w:szCs w:val="28"/>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6C7D44">
      <w:pPr>
        <w:pStyle w:val="Footer"/>
        <w:tabs>
          <w:tab w:val="clear" w:pos="9072"/>
        </w:tabs>
        <w:jc w:val="center"/>
        <w:rPr>
          <w:sz w:val="16"/>
          <w:szCs w:val="16"/>
        </w:rPr>
      </w:pPr>
    </w:p>
    <w:p w:rsidR="006C7D44" w:rsidRDefault="006C7D44" w:rsidP="00B77050">
      <w:pPr>
        <w:pStyle w:val="Footer"/>
        <w:tabs>
          <w:tab w:val="clear" w:pos="9072"/>
        </w:tabs>
        <w:rPr>
          <w:sz w:val="16"/>
          <w:szCs w:val="16"/>
        </w:rPr>
      </w:pPr>
    </w:p>
    <w:p w:rsidR="006C7D44" w:rsidRPr="006077D1" w:rsidRDefault="006C7D44" w:rsidP="006C7D44">
      <w:pPr>
        <w:pStyle w:val="Footer"/>
        <w:tabs>
          <w:tab w:val="clear" w:pos="9072"/>
        </w:tabs>
        <w:jc w:val="center"/>
        <w:rPr>
          <w:sz w:val="16"/>
          <w:szCs w:val="16"/>
          <w:lang w:val="en-US"/>
        </w:rPr>
      </w:pPr>
      <w:r w:rsidRPr="006077D1">
        <w:rPr>
          <w:noProof/>
          <w:sz w:val="16"/>
          <w:szCs w:val="16"/>
        </w:rPr>
        <w:drawing>
          <wp:inline distT="0" distB="0" distL="0" distR="0">
            <wp:extent cx="361950" cy="457200"/>
            <wp:effectExtent l="0" t="0" r="0" b="0"/>
            <wp:docPr id="12" name="Picture 12" descr="Ba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n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Pr="006077D1">
        <w:rPr>
          <w:sz w:val="16"/>
          <w:szCs w:val="16"/>
        </w:rPr>
        <w:t xml:space="preserve">              </w:t>
      </w:r>
      <w:r w:rsidRPr="006077D1">
        <w:rPr>
          <w:noProof/>
          <w:sz w:val="16"/>
          <w:szCs w:val="16"/>
        </w:rPr>
        <w:drawing>
          <wp:inline distT="0" distB="0" distL="0" distR="0">
            <wp:extent cx="323850" cy="457200"/>
            <wp:effectExtent l="0" t="0" r="0" b="0"/>
            <wp:docPr id="11" name="Picture 11" descr="Luky_sig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uky_sig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r w:rsidRPr="006077D1">
        <w:rPr>
          <w:sz w:val="16"/>
          <w:szCs w:val="16"/>
        </w:rPr>
        <w:t xml:space="preserve">             </w:t>
      </w:r>
      <w:r w:rsidRPr="006077D1">
        <w:rPr>
          <w:noProof/>
          <w:sz w:val="16"/>
          <w:szCs w:val="16"/>
        </w:rPr>
        <w:drawing>
          <wp:inline distT="0" distB="0" distL="0" distR="0">
            <wp:extent cx="390525" cy="514350"/>
            <wp:effectExtent l="0" t="0" r="9525" b="0"/>
            <wp:docPr id="10" name="Picture 10" descr="chepe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pel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a:effectLst/>
                  </pic:spPr>
                </pic:pic>
              </a:graphicData>
            </a:graphic>
          </wp:inline>
        </w:drawing>
      </w:r>
    </w:p>
    <w:p w:rsidR="006C7D44" w:rsidRPr="008D6C85" w:rsidRDefault="006C7D44" w:rsidP="006C7D44">
      <w:pPr>
        <w:jc w:val="center"/>
      </w:pPr>
      <w:r w:rsidRPr="008D6C85">
        <w:t>Сдружение Местна Инициативна Група „Преспа” - общини Баните, Лъки и Чепеларе</w:t>
      </w:r>
    </w:p>
    <w:p w:rsidR="006C7D44" w:rsidRPr="008D6C85" w:rsidRDefault="006C7D44" w:rsidP="006C7D44">
      <w:pPr>
        <w:jc w:val="center"/>
        <w:rPr>
          <w:rStyle w:val="Strong"/>
          <w:b w:val="0"/>
          <w:bCs w:val="0"/>
        </w:rPr>
      </w:pPr>
      <w:r w:rsidRPr="008D6C85">
        <w:t xml:space="preserve">адрес: гр. Чепеларе 4850; </w:t>
      </w:r>
      <w:r w:rsidRPr="008D6C85">
        <w:rPr>
          <w:lang w:val="ru-RU"/>
        </w:rPr>
        <w:t xml:space="preserve">ул. ”Йордан Данчев” № 1; </w:t>
      </w:r>
      <w:r w:rsidRPr="008D6C85">
        <w:rPr>
          <w:lang w:val="en-US"/>
        </w:rPr>
        <w:t>e</w:t>
      </w:r>
      <w:r w:rsidRPr="008D6C85">
        <w:rPr>
          <w:lang w:val="ru-RU"/>
        </w:rPr>
        <w:t>-</w:t>
      </w:r>
      <w:r w:rsidRPr="008D6C85">
        <w:rPr>
          <w:lang w:val="en-US"/>
        </w:rPr>
        <w:t>mail</w:t>
      </w:r>
      <w:r w:rsidRPr="008D6C85">
        <w:rPr>
          <w:lang w:val="ru-RU"/>
        </w:rPr>
        <w:t xml:space="preserve">: </w:t>
      </w:r>
      <w:hyperlink r:id="rId16" w:history="1">
        <w:r w:rsidRPr="008D6C85">
          <w:rPr>
            <w:rStyle w:val="Hyperlink"/>
            <w:lang w:val="en-US"/>
          </w:rPr>
          <w:t>migprespa</w:t>
        </w:r>
        <w:r w:rsidRPr="008D6C85">
          <w:rPr>
            <w:rStyle w:val="Hyperlink"/>
            <w:lang w:val="ru-RU"/>
          </w:rPr>
          <w:t>@</w:t>
        </w:r>
        <w:r w:rsidRPr="008D6C85">
          <w:rPr>
            <w:rStyle w:val="Hyperlink"/>
            <w:lang w:val="en-US"/>
          </w:rPr>
          <w:t>gmail</w:t>
        </w:r>
        <w:r w:rsidRPr="008D6C85">
          <w:rPr>
            <w:rStyle w:val="Hyperlink"/>
            <w:lang w:val="ru-RU"/>
          </w:rPr>
          <w:t>.</w:t>
        </w:r>
        <w:r w:rsidRPr="008D6C85">
          <w:rPr>
            <w:rStyle w:val="Hyperlink"/>
            <w:lang w:val="en-US"/>
          </w:rPr>
          <w:t>com</w:t>
        </w:r>
      </w:hyperlink>
    </w:p>
    <w:p w:rsidR="006C7D44" w:rsidRPr="008D6C85" w:rsidRDefault="00CB0D98" w:rsidP="006C7D44">
      <w:pPr>
        <w:jc w:val="center"/>
      </w:pPr>
      <w:r>
        <w:rPr>
          <w:rStyle w:val="Strong"/>
          <w:b w:val="0"/>
          <w:bCs w:val="0"/>
        </w:rPr>
        <w:t>телефон за контакти: 0886 797808</w:t>
      </w:r>
    </w:p>
    <w:p w:rsidR="00B33B36" w:rsidRDefault="00371D29">
      <w:pPr>
        <w:pStyle w:val="Heading1"/>
        <w:numPr>
          <w:ilvl w:val="0"/>
          <w:numId w:val="1"/>
        </w:numPr>
        <w:rPr>
          <w:rFonts w:ascii="Times New Roman" w:hAnsi="Times New Roman" w:cs="Times New Roman"/>
          <w:color w:val="auto"/>
        </w:rPr>
      </w:pPr>
      <w:bookmarkStart w:id="0" w:name="_Toc491427443"/>
      <w:r>
        <w:rPr>
          <w:rFonts w:ascii="Times New Roman" w:hAnsi="Times New Roman" w:cs="Times New Roman"/>
          <w:color w:val="auto"/>
        </w:rPr>
        <w:lastRenderedPageBreak/>
        <w:t>Наименование на програмата:</w:t>
      </w:r>
      <w:bookmarkEnd w:id="0"/>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pStyle w:val="ListParagraph"/>
              <w:ind w:left="382"/>
              <w:rPr>
                <w:rFonts w:ascii="Times New Roman" w:hAnsi="Times New Roman" w:cs="Times New Roman"/>
                <w:sz w:val="24"/>
                <w:szCs w:val="24"/>
              </w:rPr>
            </w:pPr>
            <w:r>
              <w:rPr>
                <w:rFonts w:ascii="Times New Roman" w:hAnsi="Times New Roman" w:cs="Times New Roman"/>
                <w:sz w:val="24"/>
                <w:szCs w:val="24"/>
              </w:rPr>
              <w:t xml:space="preserve">ПРОГРАМА ЗА РАЗВИТИЕ НА СЕЛСКИТЕ РАЙОНИ 2014 – 2020 Г. </w:t>
            </w:r>
          </w:p>
        </w:tc>
      </w:tr>
    </w:tbl>
    <w:p w:rsidR="00B33B36" w:rsidRDefault="00B33B36">
      <w:pPr>
        <w:pStyle w:val="Heading1"/>
        <w:numPr>
          <w:ilvl w:val="0"/>
          <w:numId w:val="0"/>
        </w:numPr>
        <w:ind w:left="992"/>
        <w:rPr>
          <w:rFonts w:ascii="Times New Roman" w:hAnsi="Times New Roman" w:cs="Times New Roman"/>
          <w:color w:val="auto"/>
        </w:rPr>
      </w:pPr>
      <w:bookmarkStart w:id="1" w:name="_Toc491427444"/>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Наименование на приоритетната ос:</w:t>
      </w:r>
      <w:bookmarkEnd w:id="1"/>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rPr>
                <w:rFonts w:ascii="Times New Roman" w:hAnsi="Times New Roman" w:cs="Times New Roman"/>
                <w:sz w:val="24"/>
                <w:szCs w:val="24"/>
              </w:rPr>
            </w:pPr>
            <w:r>
              <w:rPr>
                <w:rFonts w:ascii="Times New Roman" w:hAnsi="Times New Roman" w:cs="Times New Roman"/>
                <w:sz w:val="24"/>
                <w:szCs w:val="24"/>
              </w:rPr>
              <w:t>МЯРКА 19 ВОДЕНО ОТ ОБЩНОСТИТЕ МЕСТНО РАЗВИТИЕ</w:t>
            </w:r>
          </w:p>
        </w:tc>
      </w:tr>
    </w:tbl>
    <w:p w:rsidR="00B33B36" w:rsidRDefault="00B33B36">
      <w:pPr>
        <w:pStyle w:val="Heading1"/>
        <w:numPr>
          <w:ilvl w:val="0"/>
          <w:numId w:val="0"/>
        </w:numPr>
        <w:ind w:left="992"/>
        <w:rPr>
          <w:rFonts w:ascii="Times New Roman" w:hAnsi="Times New Roman" w:cs="Times New Roman"/>
          <w:color w:val="auto"/>
        </w:rPr>
      </w:pPr>
      <w:bookmarkStart w:id="2" w:name="_Toc491427445"/>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Наименование на процедурата:</w:t>
      </w:r>
      <w:bookmarkEnd w:id="2"/>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jc w:val="both"/>
              <w:rPr>
                <w:rFonts w:ascii="Times New Roman" w:hAnsi="Times New Roman" w:cs="Times New Roman"/>
                <w:sz w:val="24"/>
                <w:szCs w:val="24"/>
                <w:highlight w:val="yellow"/>
              </w:rPr>
            </w:pPr>
            <w:r>
              <w:rPr>
                <w:rFonts w:ascii="Times New Roman" w:hAnsi="Times New Roman" w:cs="Times New Roman"/>
                <w:sz w:val="24"/>
                <w:szCs w:val="24"/>
              </w:rPr>
              <w:t>Подмярка 7.2 „</w:t>
            </w:r>
            <w:r>
              <w:rPr>
                <w:rFonts w:ascii="Times New Roman" w:hAnsi="Times New Roman"/>
                <w:sz w:val="24"/>
                <w:szCs w:val="24"/>
              </w:rPr>
              <w:t>Инвестиции в създаването, подобряването или разширяването на всички видове малка по мащаби инфраструктура</w:t>
            </w:r>
            <w:r>
              <w:rPr>
                <w:rFonts w:ascii="Times New Roman" w:hAnsi="Times New Roman" w:cs="Times New Roman"/>
                <w:sz w:val="24"/>
                <w:szCs w:val="24"/>
              </w:rPr>
              <w:t>“</w:t>
            </w:r>
          </w:p>
        </w:tc>
      </w:tr>
    </w:tbl>
    <w:p w:rsidR="00B33B36" w:rsidRDefault="00B33B36">
      <w:pPr>
        <w:pStyle w:val="Heading1"/>
        <w:numPr>
          <w:ilvl w:val="0"/>
          <w:numId w:val="0"/>
        </w:numPr>
        <w:ind w:left="992"/>
        <w:rPr>
          <w:rFonts w:ascii="Times New Roman" w:hAnsi="Times New Roman" w:cs="Times New Roman"/>
          <w:color w:val="auto"/>
        </w:rPr>
      </w:pPr>
      <w:bookmarkStart w:id="3" w:name="_Toc491427446"/>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Измерения по кодове:</w:t>
      </w:r>
      <w:bookmarkEnd w:id="3"/>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pStyle w:val="ListParagraph"/>
              <w:ind w:left="382"/>
              <w:rPr>
                <w:rFonts w:ascii="Times New Roman" w:hAnsi="Times New Roman" w:cs="Times New Roman"/>
                <w:sz w:val="24"/>
                <w:szCs w:val="24"/>
              </w:rPr>
            </w:pPr>
            <w:r>
              <w:rPr>
                <w:rFonts w:ascii="Times New Roman" w:hAnsi="Times New Roman" w:cs="Times New Roman"/>
                <w:sz w:val="24"/>
                <w:szCs w:val="24"/>
              </w:rPr>
              <w:t>Неприложимо</w:t>
            </w:r>
          </w:p>
        </w:tc>
      </w:tr>
    </w:tbl>
    <w:p w:rsidR="00B33B36" w:rsidRDefault="00B33B36">
      <w:pPr>
        <w:pStyle w:val="Heading1"/>
        <w:numPr>
          <w:ilvl w:val="0"/>
          <w:numId w:val="0"/>
        </w:numPr>
        <w:ind w:left="992"/>
        <w:rPr>
          <w:rFonts w:ascii="Times New Roman" w:hAnsi="Times New Roman" w:cs="Times New Roman"/>
          <w:color w:val="auto"/>
        </w:rPr>
      </w:pPr>
      <w:bookmarkStart w:id="4" w:name="_Toc491427447"/>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Териториален обхват:</w:t>
      </w:r>
      <w:bookmarkEnd w:id="4"/>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pStyle w:val="ListParagraph"/>
              <w:ind w:left="382"/>
              <w:rPr>
                <w:rFonts w:ascii="Times New Roman" w:hAnsi="Times New Roman" w:cs="Times New Roman"/>
                <w:sz w:val="24"/>
                <w:szCs w:val="24"/>
              </w:rPr>
            </w:pPr>
            <w:r>
              <w:rPr>
                <w:rFonts w:ascii="Times New Roman" w:hAnsi="Times New Roman" w:cs="Times New Roman"/>
                <w:sz w:val="24"/>
                <w:szCs w:val="24"/>
              </w:rPr>
              <w:t>Цялата територия на МИГ ПРЕСПА – общини Баните, Лъки и Чепеларе</w:t>
            </w:r>
          </w:p>
        </w:tc>
      </w:tr>
    </w:tbl>
    <w:p w:rsidR="00B33B36" w:rsidRDefault="00B33B36">
      <w:pPr>
        <w:pStyle w:val="Heading1"/>
        <w:numPr>
          <w:ilvl w:val="0"/>
          <w:numId w:val="0"/>
        </w:numPr>
        <w:ind w:left="992"/>
        <w:rPr>
          <w:rFonts w:ascii="Times New Roman" w:hAnsi="Times New Roman" w:cs="Times New Roman"/>
          <w:color w:val="auto"/>
        </w:rPr>
      </w:pPr>
      <w:bookmarkStart w:id="5" w:name="_Toc491427448"/>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Цели на предоставяната безвъзмездна финансова помощ по процедурата и очаквани резултати:</w:t>
      </w:r>
      <w:bookmarkEnd w:id="5"/>
    </w:p>
    <w:tbl>
      <w:tblPr>
        <w:tblStyle w:val="TableGrid"/>
        <w:tblW w:w="0" w:type="auto"/>
        <w:tblLook w:val="04A0" w:firstRow="1" w:lastRow="0" w:firstColumn="1" w:lastColumn="0" w:noHBand="0" w:noVBand="1"/>
      </w:tblPr>
      <w:tblGrid>
        <w:gridCol w:w="9770"/>
      </w:tblGrid>
      <w:tr w:rsidR="00B33B36">
        <w:trPr>
          <w:trHeight w:val="841"/>
        </w:trPr>
        <w:tc>
          <w:tcPr>
            <w:tcW w:w="9770" w:type="dxa"/>
          </w:tcPr>
          <w:p w:rsidR="00B33B36" w:rsidRDefault="00371D29">
            <w:pPr>
              <w:jc w:val="both"/>
              <w:rPr>
                <w:rFonts w:ascii="Times New Roman" w:hAnsi="Times New Roman" w:cs="Times New Roman"/>
                <w:sz w:val="24"/>
                <w:szCs w:val="24"/>
              </w:rPr>
            </w:pPr>
            <w:r>
              <w:rPr>
                <w:rFonts w:ascii="Times New Roman" w:hAnsi="Times New Roman" w:cs="Times New Roman"/>
                <w:sz w:val="24"/>
                <w:szCs w:val="24"/>
              </w:rPr>
              <w:t xml:space="preserve">С инвестициите по подмярката се цели подобряване или разширяването на всички видове малка по мащаби инфраструктура, включително </w:t>
            </w:r>
            <w:r w:rsidR="00B32189">
              <w:rPr>
                <w:rFonts w:ascii="Times New Roman" w:hAnsi="Times New Roman" w:cs="Times New Roman"/>
                <w:sz w:val="24"/>
                <w:szCs w:val="24"/>
              </w:rPr>
              <w:t xml:space="preserve">извършване на </w:t>
            </w:r>
            <w:r>
              <w:rPr>
                <w:rFonts w:ascii="Times New Roman" w:hAnsi="Times New Roman" w:cs="Times New Roman"/>
                <w:sz w:val="24"/>
                <w:szCs w:val="24"/>
              </w:rPr>
              <w:t>инвестиции в енергия от възобновяеми източници и спестяване на енергия.</w:t>
            </w:r>
          </w:p>
          <w:p w:rsidR="00B32189" w:rsidRDefault="00B32189">
            <w:pPr>
              <w:jc w:val="both"/>
              <w:rPr>
                <w:rFonts w:ascii="Times New Roman" w:hAnsi="Times New Roman" w:cs="Times New Roman"/>
                <w:sz w:val="24"/>
                <w:szCs w:val="24"/>
              </w:rPr>
            </w:pPr>
            <w:r>
              <w:rPr>
                <w:rFonts w:ascii="Times New Roman" w:hAnsi="Times New Roman" w:cs="Times New Roman"/>
                <w:sz w:val="24"/>
                <w:szCs w:val="24"/>
              </w:rPr>
              <w:t>Основни</w:t>
            </w:r>
            <w:r w:rsidR="00371D29">
              <w:rPr>
                <w:rFonts w:ascii="Times New Roman" w:hAnsi="Times New Roman" w:cs="Times New Roman"/>
                <w:sz w:val="24"/>
                <w:szCs w:val="24"/>
              </w:rPr>
              <w:t xml:space="preserve"> резултат</w:t>
            </w:r>
            <w:r>
              <w:rPr>
                <w:rFonts w:ascii="Times New Roman" w:hAnsi="Times New Roman" w:cs="Times New Roman"/>
                <w:sz w:val="24"/>
                <w:szCs w:val="24"/>
              </w:rPr>
              <w:t>и:</w:t>
            </w:r>
          </w:p>
          <w:p w:rsidR="00B33B36" w:rsidRDefault="00371D29" w:rsidP="00B3218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9 500 души ще ползват подобрените услуги в следстви</w:t>
            </w:r>
            <w:r w:rsidR="00B32189">
              <w:rPr>
                <w:rFonts w:ascii="Times New Roman" w:hAnsi="Times New Roman" w:cs="Times New Roman"/>
                <w:sz w:val="24"/>
                <w:szCs w:val="24"/>
              </w:rPr>
              <w:t>е на изпълнението на подмярката;</w:t>
            </w:r>
          </w:p>
          <w:p w:rsidR="00B32189" w:rsidRPr="00B32189" w:rsidRDefault="00B32189" w:rsidP="00B32189">
            <w:pPr>
              <w:pStyle w:val="ListParagraph"/>
              <w:numPr>
                <w:ilvl w:val="0"/>
                <w:numId w:val="21"/>
              </w:numPr>
              <w:jc w:val="both"/>
              <w:rPr>
                <w:rFonts w:ascii="Times New Roman" w:hAnsi="Times New Roman" w:cs="Times New Roman"/>
                <w:sz w:val="24"/>
                <w:szCs w:val="24"/>
              </w:rPr>
            </w:pPr>
            <w:r w:rsidRPr="00B32189">
              <w:rPr>
                <w:rFonts w:ascii="Times New Roman" w:hAnsi="Times New Roman" w:cs="Times New Roman"/>
                <w:sz w:val="24"/>
                <w:szCs w:val="24"/>
              </w:rPr>
              <w:t>Реализирани 2 проекта извън общинските центрове;</w:t>
            </w:r>
          </w:p>
          <w:p w:rsidR="00B32189" w:rsidRPr="00B32189" w:rsidRDefault="00B32189" w:rsidP="00B32189">
            <w:pPr>
              <w:pStyle w:val="ListParagraph"/>
              <w:numPr>
                <w:ilvl w:val="0"/>
                <w:numId w:val="21"/>
              </w:numPr>
              <w:jc w:val="both"/>
              <w:rPr>
                <w:rFonts w:ascii="Times New Roman" w:hAnsi="Times New Roman" w:cs="Times New Roman"/>
                <w:sz w:val="24"/>
                <w:szCs w:val="24"/>
              </w:rPr>
            </w:pPr>
            <w:r w:rsidRPr="00B32189">
              <w:rPr>
                <w:rFonts w:ascii="Times New Roman" w:hAnsi="Times New Roman" w:cs="Times New Roman"/>
                <w:sz w:val="24"/>
                <w:szCs w:val="24"/>
              </w:rPr>
              <w:t>Изградена/рехабилитирана сграда за предоставяне на социални услуги.</w:t>
            </w:r>
          </w:p>
        </w:tc>
      </w:tr>
    </w:tbl>
    <w:p w:rsidR="00B33B36" w:rsidRDefault="00B33B36">
      <w:pPr>
        <w:pStyle w:val="Heading1"/>
        <w:numPr>
          <w:ilvl w:val="0"/>
          <w:numId w:val="0"/>
        </w:numPr>
        <w:ind w:left="992"/>
        <w:rPr>
          <w:rFonts w:ascii="Times New Roman" w:hAnsi="Times New Roman" w:cs="Times New Roman"/>
          <w:color w:val="auto"/>
        </w:rPr>
      </w:pPr>
      <w:bookmarkStart w:id="6" w:name="_Toc491427449"/>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Индикатори</w:t>
      </w:r>
      <w:bookmarkEnd w:id="6"/>
    </w:p>
    <w:tbl>
      <w:tblPr>
        <w:tblStyle w:val="TableGrid"/>
        <w:tblW w:w="0" w:type="auto"/>
        <w:tblLook w:val="04A0" w:firstRow="1" w:lastRow="0" w:firstColumn="1" w:lastColumn="0" w:noHBand="0" w:noVBand="1"/>
      </w:tblPr>
      <w:tblGrid>
        <w:gridCol w:w="9770"/>
      </w:tblGrid>
      <w:tr w:rsidR="00B33B36">
        <w:tc>
          <w:tcPr>
            <w:tcW w:w="9770" w:type="dxa"/>
          </w:tcPr>
          <w:p w:rsidR="00B33B36" w:rsidRDefault="00B33B36">
            <w:pPr>
              <w:pStyle w:val="ListParagraph"/>
              <w:ind w:left="382"/>
              <w:rPr>
                <w:rFonts w:ascii="Times New Roman" w:hAnsi="Times New Roman" w:cs="Times New Roman"/>
                <w:sz w:val="24"/>
                <w:szCs w:val="24"/>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860"/>
              <w:gridCol w:w="1303"/>
              <w:gridCol w:w="1559"/>
              <w:gridCol w:w="2977"/>
            </w:tblGrid>
            <w:tr w:rsidR="00B33B36">
              <w:tc>
                <w:tcPr>
                  <w:tcW w:w="738" w:type="dxa"/>
                  <w:shd w:val="clear" w:color="auto" w:fill="FFFFFF"/>
                </w:tcPr>
                <w:p w:rsidR="00B33B36" w:rsidRDefault="00371D29">
                  <w:pPr>
                    <w:ind w:left="-108" w:right="-108"/>
                    <w:rPr>
                      <w:b/>
                      <w:bCs/>
                      <w:sz w:val="24"/>
                      <w:szCs w:val="24"/>
                    </w:rPr>
                  </w:pPr>
                  <w:r>
                    <w:rPr>
                      <w:b/>
                      <w:bCs/>
                      <w:sz w:val="24"/>
                      <w:szCs w:val="24"/>
                    </w:rPr>
                    <w:t>№</w:t>
                  </w:r>
                </w:p>
              </w:tc>
              <w:tc>
                <w:tcPr>
                  <w:tcW w:w="2860" w:type="dxa"/>
                  <w:shd w:val="clear" w:color="auto" w:fill="auto"/>
                </w:tcPr>
                <w:p w:rsidR="00B33B36" w:rsidRDefault="00371D29">
                  <w:pPr>
                    <w:rPr>
                      <w:b/>
                      <w:sz w:val="24"/>
                      <w:szCs w:val="24"/>
                    </w:rPr>
                  </w:pPr>
                  <w:r>
                    <w:rPr>
                      <w:b/>
                      <w:sz w:val="24"/>
                      <w:szCs w:val="24"/>
                    </w:rPr>
                    <w:t xml:space="preserve">Индикатор </w:t>
                  </w:r>
                </w:p>
              </w:tc>
              <w:tc>
                <w:tcPr>
                  <w:tcW w:w="1303" w:type="dxa"/>
                  <w:shd w:val="clear" w:color="auto" w:fill="auto"/>
                </w:tcPr>
                <w:p w:rsidR="00B33B36" w:rsidRDefault="00371D29">
                  <w:pPr>
                    <w:rPr>
                      <w:b/>
                      <w:sz w:val="24"/>
                      <w:szCs w:val="24"/>
                    </w:rPr>
                  </w:pPr>
                  <w:r>
                    <w:rPr>
                      <w:b/>
                      <w:sz w:val="24"/>
                      <w:szCs w:val="24"/>
                    </w:rPr>
                    <w:t xml:space="preserve">Мерна единица </w:t>
                  </w:r>
                </w:p>
              </w:tc>
              <w:tc>
                <w:tcPr>
                  <w:tcW w:w="1559" w:type="dxa"/>
                  <w:shd w:val="clear" w:color="auto" w:fill="auto"/>
                </w:tcPr>
                <w:p w:rsidR="00B33B36" w:rsidRDefault="00371D29">
                  <w:pPr>
                    <w:rPr>
                      <w:b/>
                      <w:sz w:val="24"/>
                      <w:szCs w:val="24"/>
                    </w:rPr>
                  </w:pPr>
                  <w:r>
                    <w:rPr>
                      <w:b/>
                      <w:sz w:val="24"/>
                      <w:szCs w:val="24"/>
                    </w:rPr>
                    <w:t xml:space="preserve">Цел до края на стратегията </w:t>
                  </w:r>
                </w:p>
              </w:tc>
              <w:tc>
                <w:tcPr>
                  <w:tcW w:w="2977" w:type="dxa"/>
                  <w:shd w:val="clear" w:color="auto" w:fill="FFFFFF"/>
                </w:tcPr>
                <w:p w:rsidR="00B33B36" w:rsidRDefault="00371D29">
                  <w:pPr>
                    <w:rPr>
                      <w:b/>
                      <w:bCs/>
                      <w:sz w:val="24"/>
                      <w:szCs w:val="24"/>
                    </w:rPr>
                  </w:pPr>
                  <w:r>
                    <w:rPr>
                      <w:b/>
                      <w:bCs/>
                      <w:sz w:val="24"/>
                      <w:szCs w:val="24"/>
                    </w:rPr>
                    <w:t xml:space="preserve">Източник на информация </w:t>
                  </w:r>
                </w:p>
              </w:tc>
            </w:tr>
            <w:tr w:rsidR="00B33B36">
              <w:trPr>
                <w:trHeight w:val="343"/>
              </w:trPr>
              <w:tc>
                <w:tcPr>
                  <w:tcW w:w="738" w:type="dxa"/>
                  <w:shd w:val="clear" w:color="auto" w:fill="FFFFFF"/>
                </w:tcPr>
                <w:p w:rsidR="00B33B36" w:rsidRDefault="00371D29">
                  <w:pPr>
                    <w:ind w:left="-108" w:right="-108"/>
                    <w:rPr>
                      <w:b/>
                      <w:bCs/>
                      <w:sz w:val="24"/>
                      <w:szCs w:val="24"/>
                    </w:rPr>
                  </w:pPr>
                  <w:r>
                    <w:rPr>
                      <w:bCs/>
                      <w:sz w:val="24"/>
                      <w:szCs w:val="24"/>
                    </w:rPr>
                    <w:t>1</w:t>
                  </w:r>
                </w:p>
              </w:tc>
              <w:tc>
                <w:tcPr>
                  <w:tcW w:w="2860" w:type="dxa"/>
                  <w:shd w:val="clear" w:color="auto" w:fill="auto"/>
                </w:tcPr>
                <w:p w:rsidR="00B33B36" w:rsidRDefault="00371D29">
                  <w:pPr>
                    <w:rPr>
                      <w:sz w:val="24"/>
                      <w:szCs w:val="24"/>
                    </w:rPr>
                  </w:pPr>
                  <w:r>
                    <w:rPr>
                      <w:sz w:val="24"/>
                      <w:szCs w:val="24"/>
                    </w:rPr>
                    <w:t xml:space="preserve">Проекти, финансирани по мярката </w:t>
                  </w:r>
                </w:p>
              </w:tc>
              <w:tc>
                <w:tcPr>
                  <w:tcW w:w="1303" w:type="dxa"/>
                  <w:shd w:val="clear" w:color="auto" w:fill="auto"/>
                </w:tcPr>
                <w:p w:rsidR="00B33B36" w:rsidRDefault="00371D29">
                  <w:pPr>
                    <w:jc w:val="both"/>
                    <w:rPr>
                      <w:sz w:val="24"/>
                      <w:szCs w:val="24"/>
                    </w:rPr>
                  </w:pPr>
                  <w:r>
                    <w:rPr>
                      <w:sz w:val="24"/>
                      <w:szCs w:val="24"/>
                    </w:rPr>
                    <w:t>брой</w:t>
                  </w:r>
                </w:p>
              </w:tc>
              <w:tc>
                <w:tcPr>
                  <w:tcW w:w="1559" w:type="dxa"/>
                  <w:shd w:val="clear" w:color="auto" w:fill="auto"/>
                </w:tcPr>
                <w:p w:rsidR="00B33B36" w:rsidRDefault="00D57668">
                  <w:pPr>
                    <w:jc w:val="both"/>
                    <w:rPr>
                      <w:sz w:val="24"/>
                      <w:szCs w:val="24"/>
                    </w:rPr>
                  </w:pPr>
                  <w:r>
                    <w:rPr>
                      <w:sz w:val="24"/>
                      <w:szCs w:val="24"/>
                    </w:rPr>
                    <w:t>4</w:t>
                  </w:r>
                </w:p>
              </w:tc>
              <w:tc>
                <w:tcPr>
                  <w:tcW w:w="2977" w:type="dxa"/>
                  <w:shd w:val="clear" w:color="auto" w:fill="FFFFFF"/>
                </w:tcPr>
                <w:p w:rsidR="00B33B36" w:rsidRDefault="00371D29">
                  <w:pPr>
                    <w:jc w:val="both"/>
                    <w:rPr>
                      <w:b/>
                      <w:bCs/>
                      <w:sz w:val="24"/>
                      <w:szCs w:val="24"/>
                    </w:rPr>
                  </w:pPr>
                  <w:r>
                    <w:rPr>
                      <w:bCs/>
                      <w:sz w:val="24"/>
                      <w:szCs w:val="24"/>
                    </w:rPr>
                    <w:t>База данни и отчети на МИГ</w:t>
                  </w:r>
                </w:p>
              </w:tc>
            </w:tr>
            <w:tr w:rsidR="00B33B36">
              <w:tc>
                <w:tcPr>
                  <w:tcW w:w="738" w:type="dxa"/>
                  <w:shd w:val="clear" w:color="auto" w:fill="FFFFFF"/>
                </w:tcPr>
                <w:p w:rsidR="00B33B36" w:rsidRDefault="00371D29">
                  <w:pPr>
                    <w:ind w:left="-108" w:right="-108"/>
                    <w:rPr>
                      <w:b/>
                      <w:bCs/>
                      <w:sz w:val="24"/>
                      <w:szCs w:val="24"/>
                    </w:rPr>
                  </w:pPr>
                  <w:r>
                    <w:rPr>
                      <w:bCs/>
                      <w:sz w:val="24"/>
                      <w:szCs w:val="24"/>
                    </w:rPr>
                    <w:t>2</w:t>
                  </w:r>
                </w:p>
              </w:tc>
              <w:tc>
                <w:tcPr>
                  <w:tcW w:w="2860" w:type="dxa"/>
                  <w:shd w:val="clear" w:color="auto" w:fill="auto"/>
                </w:tcPr>
                <w:p w:rsidR="00B33B36" w:rsidRDefault="00371D29">
                  <w:pPr>
                    <w:rPr>
                      <w:sz w:val="24"/>
                      <w:szCs w:val="24"/>
                    </w:rPr>
                  </w:pPr>
                  <w:r>
                    <w:rPr>
                      <w:sz w:val="24"/>
                      <w:szCs w:val="24"/>
                    </w:rPr>
                    <w:t xml:space="preserve">Общ обем на </w:t>
                  </w:r>
                  <w:r>
                    <w:rPr>
                      <w:sz w:val="24"/>
                      <w:szCs w:val="24"/>
                    </w:rPr>
                    <w:lastRenderedPageBreak/>
                    <w:t>инвестициите</w:t>
                  </w:r>
                </w:p>
              </w:tc>
              <w:tc>
                <w:tcPr>
                  <w:tcW w:w="1303" w:type="dxa"/>
                  <w:shd w:val="clear" w:color="auto" w:fill="auto"/>
                </w:tcPr>
                <w:p w:rsidR="00B33B36" w:rsidRDefault="00371D29">
                  <w:pPr>
                    <w:jc w:val="both"/>
                    <w:rPr>
                      <w:sz w:val="24"/>
                      <w:szCs w:val="24"/>
                    </w:rPr>
                  </w:pPr>
                  <w:r>
                    <w:rPr>
                      <w:sz w:val="24"/>
                      <w:szCs w:val="24"/>
                    </w:rPr>
                    <w:lastRenderedPageBreak/>
                    <w:t>хил. лв.</w:t>
                  </w:r>
                </w:p>
              </w:tc>
              <w:tc>
                <w:tcPr>
                  <w:tcW w:w="1559" w:type="dxa"/>
                  <w:shd w:val="clear" w:color="auto" w:fill="auto"/>
                </w:tcPr>
                <w:p w:rsidR="00B33B36" w:rsidRDefault="00D57668">
                  <w:pPr>
                    <w:jc w:val="both"/>
                    <w:rPr>
                      <w:sz w:val="24"/>
                      <w:szCs w:val="24"/>
                    </w:rPr>
                  </w:pPr>
                  <w:r>
                    <w:rPr>
                      <w:sz w:val="24"/>
                      <w:szCs w:val="24"/>
                    </w:rPr>
                    <w:t>860</w:t>
                  </w:r>
                </w:p>
              </w:tc>
              <w:tc>
                <w:tcPr>
                  <w:tcW w:w="2977" w:type="dxa"/>
                  <w:shd w:val="clear" w:color="auto" w:fill="FFFFFF"/>
                </w:tcPr>
                <w:p w:rsidR="00B33B36" w:rsidRDefault="00371D29">
                  <w:pPr>
                    <w:jc w:val="both"/>
                    <w:rPr>
                      <w:b/>
                      <w:bCs/>
                      <w:sz w:val="24"/>
                      <w:szCs w:val="24"/>
                    </w:rPr>
                  </w:pPr>
                  <w:r>
                    <w:rPr>
                      <w:bCs/>
                      <w:sz w:val="24"/>
                      <w:szCs w:val="24"/>
                    </w:rPr>
                    <w:t xml:space="preserve">База данни и отчети на </w:t>
                  </w:r>
                  <w:r>
                    <w:rPr>
                      <w:bCs/>
                      <w:sz w:val="24"/>
                      <w:szCs w:val="24"/>
                    </w:rPr>
                    <w:lastRenderedPageBreak/>
                    <w:t>МИГ</w:t>
                  </w:r>
                </w:p>
              </w:tc>
            </w:tr>
            <w:tr w:rsidR="00B33B36">
              <w:tc>
                <w:tcPr>
                  <w:tcW w:w="738" w:type="dxa"/>
                  <w:shd w:val="clear" w:color="auto" w:fill="FFFFFF"/>
                </w:tcPr>
                <w:p w:rsidR="00B33B36" w:rsidRDefault="00371D29">
                  <w:pPr>
                    <w:ind w:left="-108" w:right="-108"/>
                    <w:rPr>
                      <w:b/>
                      <w:bCs/>
                      <w:sz w:val="24"/>
                      <w:szCs w:val="24"/>
                    </w:rPr>
                  </w:pPr>
                  <w:r>
                    <w:rPr>
                      <w:bCs/>
                      <w:sz w:val="24"/>
                      <w:szCs w:val="24"/>
                    </w:rPr>
                    <w:lastRenderedPageBreak/>
                    <w:t>3</w:t>
                  </w:r>
                </w:p>
              </w:tc>
              <w:tc>
                <w:tcPr>
                  <w:tcW w:w="2860" w:type="dxa"/>
                  <w:shd w:val="clear" w:color="auto" w:fill="auto"/>
                </w:tcPr>
                <w:p w:rsidR="00B33B36" w:rsidRDefault="00371D29">
                  <w:pPr>
                    <w:rPr>
                      <w:sz w:val="24"/>
                      <w:szCs w:val="24"/>
                    </w:rPr>
                  </w:pPr>
                  <w:r>
                    <w:rPr>
                      <w:sz w:val="24"/>
                      <w:szCs w:val="24"/>
                    </w:rPr>
                    <w:t>Проекти реализирани извън общинските центрове</w:t>
                  </w:r>
                </w:p>
              </w:tc>
              <w:tc>
                <w:tcPr>
                  <w:tcW w:w="1303" w:type="dxa"/>
                  <w:shd w:val="clear" w:color="auto" w:fill="auto"/>
                </w:tcPr>
                <w:p w:rsidR="00B33B36" w:rsidRDefault="00371D29">
                  <w:pPr>
                    <w:jc w:val="both"/>
                    <w:rPr>
                      <w:sz w:val="24"/>
                      <w:szCs w:val="24"/>
                    </w:rPr>
                  </w:pPr>
                  <w:r>
                    <w:rPr>
                      <w:sz w:val="24"/>
                      <w:szCs w:val="24"/>
                    </w:rPr>
                    <w:t>брой</w:t>
                  </w:r>
                </w:p>
              </w:tc>
              <w:tc>
                <w:tcPr>
                  <w:tcW w:w="1559" w:type="dxa"/>
                  <w:shd w:val="clear" w:color="auto" w:fill="auto"/>
                </w:tcPr>
                <w:p w:rsidR="00B33B36" w:rsidRDefault="00371D29">
                  <w:pPr>
                    <w:jc w:val="both"/>
                    <w:rPr>
                      <w:sz w:val="24"/>
                      <w:szCs w:val="24"/>
                    </w:rPr>
                  </w:pPr>
                  <w:r>
                    <w:rPr>
                      <w:sz w:val="24"/>
                      <w:szCs w:val="24"/>
                    </w:rPr>
                    <w:t>2</w:t>
                  </w:r>
                </w:p>
              </w:tc>
              <w:tc>
                <w:tcPr>
                  <w:tcW w:w="2977" w:type="dxa"/>
                  <w:shd w:val="clear" w:color="auto" w:fill="FFFFFF"/>
                </w:tcPr>
                <w:p w:rsidR="00B33B36" w:rsidRDefault="00371D29">
                  <w:pPr>
                    <w:jc w:val="both"/>
                    <w:rPr>
                      <w:b/>
                      <w:bCs/>
                      <w:sz w:val="24"/>
                      <w:szCs w:val="24"/>
                    </w:rPr>
                  </w:pPr>
                  <w:r>
                    <w:rPr>
                      <w:bCs/>
                      <w:sz w:val="24"/>
                      <w:szCs w:val="24"/>
                    </w:rPr>
                    <w:t>База данни и отчети на МИГ</w:t>
                  </w:r>
                </w:p>
              </w:tc>
            </w:tr>
            <w:tr w:rsidR="00B33B36">
              <w:tc>
                <w:tcPr>
                  <w:tcW w:w="738" w:type="dxa"/>
                  <w:shd w:val="clear" w:color="auto" w:fill="FFFFFF"/>
                </w:tcPr>
                <w:p w:rsidR="00B33B36" w:rsidRDefault="00371D29">
                  <w:pPr>
                    <w:ind w:left="-108" w:right="-108"/>
                    <w:rPr>
                      <w:b/>
                      <w:bCs/>
                      <w:sz w:val="24"/>
                      <w:szCs w:val="24"/>
                    </w:rPr>
                  </w:pPr>
                  <w:r>
                    <w:rPr>
                      <w:bCs/>
                      <w:sz w:val="24"/>
                      <w:szCs w:val="24"/>
                    </w:rPr>
                    <w:t>4</w:t>
                  </w:r>
                </w:p>
              </w:tc>
              <w:tc>
                <w:tcPr>
                  <w:tcW w:w="2860" w:type="dxa"/>
                  <w:shd w:val="clear" w:color="auto" w:fill="auto"/>
                </w:tcPr>
                <w:p w:rsidR="00B33B36" w:rsidRDefault="00371D29">
                  <w:pPr>
                    <w:jc w:val="both"/>
                    <w:rPr>
                      <w:sz w:val="24"/>
                      <w:szCs w:val="24"/>
                    </w:rPr>
                  </w:pPr>
                  <w:r>
                    <w:rPr>
                      <w:rFonts w:eastAsia="MS Mincho"/>
                      <w:color w:val="000000"/>
                      <w:sz w:val="24"/>
                      <w:szCs w:val="24"/>
                    </w:rPr>
                    <w:t>Население на територията на МИГ, което се ползва от подобрените услуги</w:t>
                  </w:r>
                </w:p>
              </w:tc>
              <w:tc>
                <w:tcPr>
                  <w:tcW w:w="1303" w:type="dxa"/>
                  <w:shd w:val="clear" w:color="auto" w:fill="auto"/>
                </w:tcPr>
                <w:p w:rsidR="00B33B36" w:rsidRDefault="00371D29">
                  <w:pPr>
                    <w:jc w:val="both"/>
                    <w:rPr>
                      <w:sz w:val="24"/>
                      <w:szCs w:val="24"/>
                    </w:rPr>
                  </w:pPr>
                  <w:r>
                    <w:rPr>
                      <w:sz w:val="24"/>
                      <w:szCs w:val="24"/>
                    </w:rPr>
                    <w:t>брой</w:t>
                  </w:r>
                </w:p>
              </w:tc>
              <w:tc>
                <w:tcPr>
                  <w:tcW w:w="1559" w:type="dxa"/>
                  <w:shd w:val="clear" w:color="auto" w:fill="auto"/>
                </w:tcPr>
                <w:p w:rsidR="00B33B36" w:rsidRDefault="00371D29">
                  <w:pPr>
                    <w:jc w:val="both"/>
                    <w:rPr>
                      <w:sz w:val="24"/>
                      <w:szCs w:val="24"/>
                    </w:rPr>
                  </w:pPr>
                  <w:r>
                    <w:rPr>
                      <w:sz w:val="24"/>
                      <w:szCs w:val="24"/>
                    </w:rPr>
                    <w:t>9500</w:t>
                  </w:r>
                </w:p>
              </w:tc>
              <w:tc>
                <w:tcPr>
                  <w:tcW w:w="2977" w:type="dxa"/>
                  <w:shd w:val="clear" w:color="auto" w:fill="FFFFFF"/>
                </w:tcPr>
                <w:p w:rsidR="00B33B36" w:rsidRDefault="00371D29">
                  <w:pPr>
                    <w:jc w:val="both"/>
                    <w:rPr>
                      <w:b/>
                      <w:bCs/>
                      <w:sz w:val="24"/>
                      <w:szCs w:val="24"/>
                    </w:rPr>
                  </w:pPr>
                  <w:r>
                    <w:rPr>
                      <w:bCs/>
                      <w:sz w:val="24"/>
                      <w:szCs w:val="24"/>
                    </w:rPr>
                    <w:t>База данни и отчети на МИГ</w:t>
                  </w:r>
                </w:p>
              </w:tc>
            </w:tr>
            <w:tr w:rsidR="00B33B36">
              <w:tc>
                <w:tcPr>
                  <w:tcW w:w="738" w:type="dxa"/>
                  <w:shd w:val="clear" w:color="auto" w:fill="FFFFFF"/>
                </w:tcPr>
                <w:p w:rsidR="00B33B36" w:rsidRDefault="00371D29">
                  <w:pPr>
                    <w:ind w:left="-108" w:right="-108"/>
                    <w:rPr>
                      <w:b/>
                      <w:bCs/>
                      <w:sz w:val="24"/>
                      <w:szCs w:val="24"/>
                    </w:rPr>
                  </w:pPr>
                  <w:r>
                    <w:rPr>
                      <w:bCs/>
                      <w:sz w:val="24"/>
                      <w:szCs w:val="24"/>
                    </w:rPr>
                    <w:t>5</w:t>
                  </w:r>
                </w:p>
              </w:tc>
              <w:tc>
                <w:tcPr>
                  <w:tcW w:w="2860" w:type="dxa"/>
                  <w:shd w:val="clear" w:color="auto" w:fill="FFFFFF"/>
                </w:tcPr>
                <w:p w:rsidR="00B33B36" w:rsidRDefault="00371D29">
                  <w:pPr>
                    <w:rPr>
                      <w:b/>
                      <w:bCs/>
                      <w:sz w:val="24"/>
                      <w:szCs w:val="24"/>
                    </w:rPr>
                  </w:pPr>
                  <w:r>
                    <w:rPr>
                      <w:bCs/>
                      <w:sz w:val="24"/>
                      <w:szCs w:val="24"/>
                    </w:rPr>
                    <w:t>Изградени/обновени сгради за предоставяне на социални услуги</w:t>
                  </w:r>
                </w:p>
              </w:tc>
              <w:tc>
                <w:tcPr>
                  <w:tcW w:w="1303" w:type="dxa"/>
                  <w:shd w:val="clear" w:color="auto" w:fill="FFFFFF"/>
                </w:tcPr>
                <w:p w:rsidR="00B33B36" w:rsidRDefault="00371D29">
                  <w:pPr>
                    <w:jc w:val="both"/>
                    <w:rPr>
                      <w:b/>
                      <w:bCs/>
                      <w:sz w:val="24"/>
                      <w:szCs w:val="24"/>
                    </w:rPr>
                  </w:pPr>
                  <w:r>
                    <w:rPr>
                      <w:bCs/>
                      <w:sz w:val="24"/>
                      <w:szCs w:val="24"/>
                    </w:rPr>
                    <w:t>брой</w:t>
                  </w:r>
                </w:p>
              </w:tc>
              <w:tc>
                <w:tcPr>
                  <w:tcW w:w="1559" w:type="dxa"/>
                  <w:shd w:val="clear" w:color="auto" w:fill="FFFFFF"/>
                </w:tcPr>
                <w:p w:rsidR="00B33B36" w:rsidRDefault="00371D29">
                  <w:pPr>
                    <w:jc w:val="both"/>
                    <w:rPr>
                      <w:b/>
                      <w:bCs/>
                      <w:sz w:val="24"/>
                      <w:szCs w:val="24"/>
                    </w:rPr>
                  </w:pPr>
                  <w:r>
                    <w:rPr>
                      <w:bCs/>
                      <w:sz w:val="24"/>
                      <w:szCs w:val="24"/>
                    </w:rPr>
                    <w:t>1</w:t>
                  </w:r>
                </w:p>
              </w:tc>
              <w:tc>
                <w:tcPr>
                  <w:tcW w:w="2977" w:type="dxa"/>
                  <w:shd w:val="clear" w:color="auto" w:fill="FFFFFF"/>
                </w:tcPr>
                <w:p w:rsidR="00B33B36" w:rsidRDefault="00371D29">
                  <w:pPr>
                    <w:jc w:val="both"/>
                    <w:rPr>
                      <w:b/>
                      <w:bCs/>
                      <w:sz w:val="24"/>
                      <w:szCs w:val="24"/>
                    </w:rPr>
                  </w:pPr>
                  <w:r>
                    <w:rPr>
                      <w:bCs/>
                      <w:sz w:val="24"/>
                      <w:szCs w:val="24"/>
                    </w:rPr>
                    <w:t>База данни и отчети на МИГ</w:t>
                  </w:r>
                </w:p>
              </w:tc>
            </w:tr>
          </w:tbl>
          <w:p w:rsidR="00B33B36" w:rsidRDefault="00B33B36">
            <w:pPr>
              <w:rPr>
                <w:sz w:val="24"/>
                <w:szCs w:val="24"/>
              </w:rPr>
            </w:pPr>
          </w:p>
        </w:tc>
      </w:tr>
    </w:tbl>
    <w:p w:rsidR="00BB79BC" w:rsidRPr="00216F86" w:rsidRDefault="00BB79BC" w:rsidP="00BB79BC">
      <w:pPr>
        <w:spacing w:line="276" w:lineRule="auto"/>
        <w:jc w:val="both"/>
        <w:rPr>
          <w:sz w:val="24"/>
          <w:szCs w:val="24"/>
          <w:lang w:eastAsia="en-US"/>
        </w:rPr>
      </w:pPr>
      <w:bookmarkStart w:id="7" w:name="_Toc491427450"/>
      <w:r w:rsidRPr="00216F86">
        <w:rPr>
          <w:sz w:val="24"/>
          <w:szCs w:val="24"/>
          <w:lang w:eastAsia="en-US"/>
        </w:rPr>
        <w:lastRenderedPageBreak/>
        <w:t>На ниво проектно предложение кандидатът следва да избере</w:t>
      </w:r>
      <w:r w:rsidRPr="00216F86">
        <w:rPr>
          <w:sz w:val="24"/>
          <w:szCs w:val="24"/>
          <w:lang w:val="en-US" w:eastAsia="en-US"/>
        </w:rPr>
        <w:t xml:space="preserve"> </w:t>
      </w:r>
      <w:r w:rsidRPr="00216F86">
        <w:rPr>
          <w:sz w:val="24"/>
          <w:szCs w:val="24"/>
          <w:lang w:eastAsia="en-US"/>
        </w:rPr>
        <w:t>относимите индикатори за конкретния проект:</w:t>
      </w:r>
    </w:p>
    <w:p w:rsidR="00BB79BC" w:rsidRPr="00BB79BC" w:rsidRDefault="00BB79BC" w:rsidP="00BB79BC">
      <w:pPr>
        <w:numPr>
          <w:ilvl w:val="0"/>
          <w:numId w:val="22"/>
        </w:numPr>
        <w:spacing w:line="276" w:lineRule="auto"/>
        <w:ind w:left="284" w:firstLine="0"/>
        <w:jc w:val="both"/>
        <w:rPr>
          <w:sz w:val="24"/>
          <w:szCs w:val="24"/>
          <w:lang w:eastAsia="en-US"/>
        </w:rPr>
      </w:pPr>
      <w:r w:rsidRPr="00BB79BC">
        <w:rPr>
          <w:sz w:val="24"/>
          <w:szCs w:val="24"/>
        </w:rPr>
        <w:t>Проекти реализирани извън общинските центрове</w:t>
      </w:r>
      <w:r>
        <w:rPr>
          <w:sz w:val="24"/>
          <w:szCs w:val="24"/>
        </w:rPr>
        <w:t xml:space="preserve"> </w:t>
      </w:r>
      <w:r w:rsidRPr="00216F86">
        <w:rPr>
          <w:rFonts w:eastAsia="ArialNarrow"/>
          <w:sz w:val="24"/>
          <w:szCs w:val="24"/>
          <w:lang w:val="en-US" w:eastAsia="en-US"/>
        </w:rPr>
        <w:t>-</w:t>
      </w:r>
      <w:r w:rsidRPr="00216F86">
        <w:rPr>
          <w:sz w:val="24"/>
          <w:szCs w:val="24"/>
          <w:lang w:eastAsia="en-US"/>
        </w:rPr>
        <w:t xml:space="preserve"> съгласно заявлението за кандидатстване.</w:t>
      </w:r>
    </w:p>
    <w:p w:rsidR="00BB79BC" w:rsidRPr="00216F86" w:rsidRDefault="00BB79BC" w:rsidP="00BB79BC">
      <w:pPr>
        <w:numPr>
          <w:ilvl w:val="0"/>
          <w:numId w:val="22"/>
        </w:numPr>
        <w:spacing w:line="276" w:lineRule="auto"/>
        <w:ind w:left="284" w:firstLine="0"/>
        <w:jc w:val="both"/>
        <w:rPr>
          <w:sz w:val="24"/>
          <w:szCs w:val="24"/>
          <w:lang w:eastAsia="en-US"/>
        </w:rPr>
      </w:pPr>
      <w:r>
        <w:rPr>
          <w:bCs/>
          <w:sz w:val="24"/>
          <w:szCs w:val="24"/>
        </w:rPr>
        <w:t>Изградени/обновени сгради за предоставяне на социални услуги</w:t>
      </w:r>
      <w:r w:rsidRPr="00216F86">
        <w:rPr>
          <w:rFonts w:eastAsia="ArialNarrow"/>
          <w:sz w:val="24"/>
          <w:szCs w:val="24"/>
          <w:lang w:val="en-US" w:eastAsia="en-US"/>
        </w:rPr>
        <w:t xml:space="preserve"> -</w:t>
      </w:r>
      <w:r w:rsidRPr="00216F86">
        <w:rPr>
          <w:sz w:val="24"/>
          <w:szCs w:val="24"/>
          <w:lang w:eastAsia="en-US"/>
        </w:rPr>
        <w:t xml:space="preserve"> съгласно заявлението за кандидатстване.</w:t>
      </w:r>
    </w:p>
    <w:p w:rsidR="00BB79BC" w:rsidRPr="00216F86" w:rsidRDefault="00BB79BC" w:rsidP="00BB79BC">
      <w:pPr>
        <w:spacing w:line="360" w:lineRule="auto"/>
        <w:jc w:val="both"/>
        <w:rPr>
          <w:sz w:val="24"/>
          <w:szCs w:val="24"/>
        </w:rPr>
      </w:pPr>
      <w:r w:rsidRPr="00216F86">
        <w:rPr>
          <w:b/>
          <w:sz w:val="24"/>
          <w:szCs w:val="24"/>
        </w:rPr>
        <w:t>Важно:</w:t>
      </w:r>
      <w:r w:rsidRPr="00216F86">
        <w:rPr>
          <w:sz w:val="24"/>
          <w:szCs w:val="24"/>
        </w:rPr>
        <w:t xml:space="preserve"> Мерната единица за посочените инд</w:t>
      </w:r>
      <w:r>
        <w:rPr>
          <w:sz w:val="24"/>
          <w:szCs w:val="24"/>
        </w:rPr>
        <w:t xml:space="preserve">икатори за изпълнение е „брой“ или „лева“. </w:t>
      </w:r>
      <w:r w:rsidRPr="00216F86">
        <w:rPr>
          <w:sz w:val="24"/>
          <w:szCs w:val="24"/>
        </w:rPr>
        <w:t>Кандидатите следва да заложат целеви стойности на относимите към проекта  индикатори за изпълнение, различни от „0“.</w:t>
      </w:r>
    </w:p>
    <w:p w:rsidR="00BB79BC" w:rsidRPr="00374B80" w:rsidRDefault="00BB79BC" w:rsidP="00BB79BC">
      <w:pPr>
        <w:spacing w:line="360" w:lineRule="auto"/>
        <w:jc w:val="both"/>
        <w:rPr>
          <w:sz w:val="24"/>
          <w:szCs w:val="24"/>
        </w:rPr>
      </w:pPr>
      <w:r w:rsidRPr="00216F86">
        <w:rPr>
          <w:b/>
          <w:sz w:val="24"/>
          <w:szCs w:val="24"/>
        </w:rPr>
        <w:t>Важно:</w:t>
      </w:r>
      <w:r w:rsidRPr="00216F86">
        <w:rPr>
          <w:sz w:val="24"/>
          <w:szCs w:val="24"/>
        </w:rPr>
        <w:t xml:space="preserve"> При подаване на проектното предложение, кандидата следва да попълни и представи формуляр за </w:t>
      </w:r>
      <w:r w:rsidR="00D353E1">
        <w:rPr>
          <w:sz w:val="24"/>
          <w:szCs w:val="24"/>
        </w:rPr>
        <w:t>мониторинг</w:t>
      </w:r>
      <w:r w:rsidRPr="00216F86">
        <w:rPr>
          <w:sz w:val="24"/>
          <w:szCs w:val="24"/>
        </w:rPr>
        <w:t xml:space="preserve"> (Приложение № 1</w:t>
      </w:r>
      <w:r w:rsidR="00E24D91">
        <w:rPr>
          <w:sz w:val="24"/>
          <w:szCs w:val="24"/>
        </w:rPr>
        <w:t>9</w:t>
      </w:r>
      <w:r w:rsidRPr="00216F86">
        <w:rPr>
          <w:sz w:val="24"/>
          <w:szCs w:val="24"/>
        </w:rPr>
        <w:t xml:space="preserve"> от документите за попълване). </w:t>
      </w:r>
      <w:r w:rsidRPr="00E24D91">
        <w:rPr>
          <w:sz w:val="24"/>
          <w:szCs w:val="24"/>
        </w:rPr>
        <w:t xml:space="preserve">Формулярът за </w:t>
      </w:r>
      <w:r w:rsidR="00D353E1">
        <w:rPr>
          <w:sz w:val="24"/>
          <w:szCs w:val="24"/>
        </w:rPr>
        <w:t>мониторинг</w:t>
      </w:r>
      <w:r w:rsidRPr="00E24D91">
        <w:rPr>
          <w:sz w:val="24"/>
          <w:szCs w:val="24"/>
        </w:rPr>
        <w:t xml:space="preserve"> се попълва при регистриране на проектно предложение от кандидат към стратегия за ВОМР и при подаване на искане за плащане. При подаване на</w:t>
      </w:r>
      <w:r w:rsidRPr="00216F86">
        <w:rPr>
          <w:sz w:val="24"/>
          <w:szCs w:val="24"/>
        </w:rPr>
        <w:t xml:space="preserve"> искане за плащане във формуляра се отчитат актуалните данни.</w:t>
      </w:r>
    </w:p>
    <w:p w:rsidR="00B33B36" w:rsidRDefault="00B33B36">
      <w:pPr>
        <w:pStyle w:val="Heading1"/>
        <w:numPr>
          <w:ilvl w:val="0"/>
          <w:numId w:val="0"/>
        </w:numPr>
        <w:ind w:left="992"/>
        <w:rPr>
          <w:rFonts w:ascii="Times New Roman" w:hAnsi="Times New Roman" w:cs="Times New Roman"/>
          <w:color w:val="auto"/>
        </w:rPr>
      </w:pPr>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Общ размер на безвъзмездната финансова помощ по процедурата:</w:t>
      </w:r>
      <w:bookmarkEnd w:id="7"/>
    </w:p>
    <w:tbl>
      <w:tblPr>
        <w:tblStyle w:val="TableGrid"/>
        <w:tblW w:w="0" w:type="auto"/>
        <w:tblInd w:w="137" w:type="dxa"/>
        <w:tblLook w:val="04A0" w:firstRow="1" w:lastRow="0" w:firstColumn="1" w:lastColumn="0" w:noHBand="0" w:noVBand="1"/>
      </w:tblPr>
      <w:tblGrid>
        <w:gridCol w:w="9497"/>
      </w:tblGrid>
      <w:tr w:rsidR="00B33B36">
        <w:tc>
          <w:tcPr>
            <w:tcW w:w="9497" w:type="dxa"/>
          </w:tcPr>
          <w:p w:rsidR="00B33B36" w:rsidRDefault="00371D29" w:rsidP="00E10050">
            <w:pPr>
              <w:spacing w:line="276" w:lineRule="auto"/>
              <w:jc w:val="both"/>
              <w:rPr>
                <w:rFonts w:ascii="Times New Roman" w:hAnsi="Times New Roman" w:cs="Times New Roman"/>
                <w:sz w:val="24"/>
                <w:szCs w:val="24"/>
              </w:rPr>
            </w:pPr>
            <w:r w:rsidRPr="008A2AA8">
              <w:rPr>
                <w:rFonts w:ascii="Times New Roman" w:hAnsi="Times New Roman" w:cs="Times New Roman"/>
                <w:sz w:val="24"/>
                <w:szCs w:val="24"/>
              </w:rPr>
              <w:t xml:space="preserve">Общия размер на безвъзмездната финансова помощ по процедурата е в размер на  </w:t>
            </w:r>
            <w:r w:rsidR="00E10050">
              <w:rPr>
                <w:rFonts w:ascii="Times New Roman" w:hAnsi="Times New Roman" w:cs="Times New Roman"/>
                <w:sz w:val="24"/>
                <w:szCs w:val="24"/>
              </w:rPr>
              <w:t>169 442,98</w:t>
            </w:r>
            <w:r w:rsidRPr="008A2AA8">
              <w:rPr>
                <w:rFonts w:ascii="Times New Roman" w:hAnsi="Times New Roman" w:cs="Times New Roman"/>
                <w:sz w:val="24"/>
                <w:szCs w:val="24"/>
              </w:rPr>
              <w:t xml:space="preserve"> лева, което представлява </w:t>
            </w:r>
            <w:r w:rsidR="008C487B">
              <w:rPr>
                <w:rFonts w:ascii="Times New Roman" w:hAnsi="Times New Roman" w:cs="Times New Roman"/>
                <w:sz w:val="24"/>
                <w:szCs w:val="24"/>
              </w:rPr>
              <w:t>44</w:t>
            </w:r>
            <w:r w:rsidRPr="008A2AA8">
              <w:rPr>
                <w:rFonts w:ascii="Times New Roman" w:hAnsi="Times New Roman" w:cs="Times New Roman"/>
                <w:sz w:val="24"/>
                <w:szCs w:val="24"/>
              </w:rPr>
              <w:t>.0% от общия бюджет на стратегията за ВОМР на МИГ ПРЕСПА – общини Баните, Лъки и Чепеларе</w:t>
            </w:r>
            <w:r>
              <w:rPr>
                <w:rFonts w:ascii="Times New Roman" w:hAnsi="Times New Roman" w:cs="Times New Roman"/>
                <w:sz w:val="24"/>
                <w:szCs w:val="24"/>
              </w:rPr>
              <w:tab/>
              <w:t xml:space="preserve"> </w:t>
            </w:r>
          </w:p>
        </w:tc>
      </w:tr>
    </w:tbl>
    <w:p w:rsidR="00B33B36" w:rsidRDefault="00B33B36">
      <w:pPr>
        <w:rPr>
          <w:sz w:val="24"/>
          <w:szCs w:val="24"/>
        </w:rPr>
      </w:pPr>
    </w:p>
    <w:p w:rsidR="00B33B36" w:rsidRDefault="00371D29">
      <w:pPr>
        <w:pStyle w:val="Heading1"/>
        <w:numPr>
          <w:ilvl w:val="0"/>
          <w:numId w:val="1"/>
        </w:numPr>
        <w:rPr>
          <w:rFonts w:ascii="Times New Roman" w:hAnsi="Times New Roman" w:cs="Times New Roman"/>
          <w:color w:val="auto"/>
        </w:rPr>
      </w:pPr>
      <w:bookmarkStart w:id="8" w:name="_Toc491427451"/>
      <w:r>
        <w:rPr>
          <w:rFonts w:ascii="Times New Roman" w:hAnsi="Times New Roman" w:cs="Times New Roman"/>
          <w:color w:val="auto"/>
        </w:rPr>
        <w:t>Минимален ( ако е приложимо ) и максимален размер на безвъзмездната финансова помощ за конкретен проект:</w:t>
      </w:r>
      <w:bookmarkEnd w:id="8"/>
      <w:r>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9770"/>
      </w:tblGrid>
      <w:tr w:rsidR="00B33B36">
        <w:tc>
          <w:tcPr>
            <w:tcW w:w="9770" w:type="dxa"/>
          </w:tcPr>
          <w:p w:rsidR="00B33B36" w:rsidRPr="008659BE" w:rsidRDefault="00371D29">
            <w:pPr>
              <w:spacing w:line="276" w:lineRule="auto"/>
              <w:jc w:val="both"/>
              <w:rPr>
                <w:rFonts w:ascii="Times New Roman" w:hAnsi="Times New Roman"/>
                <w:sz w:val="24"/>
                <w:szCs w:val="24"/>
              </w:rPr>
            </w:pPr>
            <w:r w:rsidRPr="008659BE">
              <w:rPr>
                <w:rFonts w:ascii="Times New Roman" w:hAnsi="Times New Roman"/>
                <w:sz w:val="24"/>
                <w:szCs w:val="24"/>
              </w:rPr>
              <w:t>Минимална стойност на до</w:t>
            </w:r>
            <w:r w:rsidR="00430412" w:rsidRPr="008659BE">
              <w:rPr>
                <w:rFonts w:ascii="Times New Roman" w:hAnsi="Times New Roman"/>
                <w:sz w:val="24"/>
                <w:szCs w:val="24"/>
              </w:rPr>
              <w:t>пустимите разходи – 50 000 евро</w:t>
            </w:r>
            <w:r w:rsidRPr="008659BE">
              <w:rPr>
                <w:rFonts w:ascii="Times New Roman" w:hAnsi="Times New Roman"/>
                <w:sz w:val="24"/>
                <w:szCs w:val="24"/>
              </w:rPr>
              <w:t xml:space="preserve"> </w:t>
            </w:r>
            <w:r w:rsidR="00430412" w:rsidRPr="008659BE">
              <w:rPr>
                <w:rFonts w:ascii="Times New Roman" w:hAnsi="Times New Roman"/>
                <w:sz w:val="24"/>
                <w:szCs w:val="24"/>
              </w:rPr>
              <w:t xml:space="preserve"> или 97 790,00 лева.</w:t>
            </w:r>
          </w:p>
          <w:p w:rsidR="00B33B36" w:rsidRPr="008659BE" w:rsidRDefault="00371D29">
            <w:pPr>
              <w:spacing w:line="276" w:lineRule="auto"/>
              <w:jc w:val="both"/>
              <w:rPr>
                <w:rFonts w:ascii="Times New Roman" w:hAnsi="Times New Roman"/>
                <w:sz w:val="24"/>
                <w:szCs w:val="24"/>
              </w:rPr>
            </w:pPr>
            <w:r w:rsidRPr="008659BE">
              <w:rPr>
                <w:rFonts w:ascii="Times New Roman" w:hAnsi="Times New Roman"/>
                <w:sz w:val="24"/>
                <w:szCs w:val="24"/>
              </w:rPr>
              <w:t xml:space="preserve">Максимална стойност на допустимите разходите по </w:t>
            </w:r>
            <w:r w:rsidR="00430412" w:rsidRPr="008659BE">
              <w:rPr>
                <w:rFonts w:ascii="Times New Roman" w:hAnsi="Times New Roman"/>
                <w:sz w:val="24"/>
                <w:szCs w:val="24"/>
              </w:rPr>
              <w:t>проекта – 200 000 евро или 391 160,00 лева.</w:t>
            </w:r>
          </w:p>
          <w:p w:rsidR="00430412" w:rsidRPr="008659BE" w:rsidRDefault="00430412" w:rsidP="008659BE">
            <w:pPr>
              <w:spacing w:line="276" w:lineRule="auto"/>
              <w:jc w:val="both"/>
              <w:rPr>
                <w:rFonts w:ascii="Times New Roman" w:hAnsi="Times New Roman"/>
                <w:b/>
                <w:sz w:val="24"/>
                <w:szCs w:val="24"/>
              </w:rPr>
            </w:pPr>
            <w:r w:rsidRPr="008659BE">
              <w:rPr>
                <w:rFonts w:ascii="Times New Roman" w:hAnsi="Times New Roman" w:cs="Times New Roman"/>
                <w:b/>
                <w:sz w:val="24"/>
                <w:szCs w:val="24"/>
              </w:rPr>
              <w:t xml:space="preserve">Минимален размер на субсидията за един проект –  </w:t>
            </w:r>
            <w:r w:rsidR="008659BE" w:rsidRPr="008659BE">
              <w:rPr>
                <w:rFonts w:ascii="Times New Roman" w:hAnsi="Times New Roman"/>
                <w:b/>
                <w:sz w:val="24"/>
                <w:szCs w:val="24"/>
              </w:rPr>
              <w:t>97 790,00 лева.</w:t>
            </w:r>
          </w:p>
          <w:p w:rsidR="00430412" w:rsidRPr="008659BE" w:rsidRDefault="00430412" w:rsidP="008659BE">
            <w:pPr>
              <w:jc w:val="both"/>
              <w:rPr>
                <w:rFonts w:ascii="Times New Roman" w:hAnsi="Times New Roman" w:cs="Times New Roman"/>
                <w:b/>
                <w:sz w:val="24"/>
                <w:szCs w:val="24"/>
              </w:rPr>
            </w:pPr>
            <w:r w:rsidRPr="008659BE">
              <w:rPr>
                <w:rFonts w:ascii="Times New Roman" w:hAnsi="Times New Roman" w:cs="Times New Roman"/>
                <w:b/>
                <w:sz w:val="24"/>
                <w:szCs w:val="24"/>
              </w:rPr>
              <w:t xml:space="preserve">Максимален размер на субсидията за един проект – </w:t>
            </w:r>
            <w:r w:rsidR="008676EF" w:rsidRPr="008676EF">
              <w:rPr>
                <w:rFonts w:ascii="Times New Roman" w:hAnsi="Times New Roman" w:cs="Times New Roman"/>
                <w:b/>
                <w:sz w:val="24"/>
                <w:szCs w:val="24"/>
              </w:rPr>
              <w:t>169 442,98</w:t>
            </w:r>
            <w:r w:rsidR="008676EF" w:rsidRPr="008A2AA8">
              <w:rPr>
                <w:rFonts w:ascii="Times New Roman" w:hAnsi="Times New Roman" w:cs="Times New Roman"/>
                <w:sz w:val="24"/>
                <w:szCs w:val="24"/>
              </w:rPr>
              <w:t xml:space="preserve"> </w:t>
            </w:r>
            <w:r w:rsidR="008659BE" w:rsidRPr="008659BE">
              <w:rPr>
                <w:rFonts w:ascii="Times New Roman" w:hAnsi="Times New Roman" w:cs="Times New Roman"/>
                <w:b/>
                <w:sz w:val="24"/>
                <w:szCs w:val="24"/>
              </w:rPr>
              <w:t>лева.</w:t>
            </w:r>
          </w:p>
          <w:p w:rsidR="00430412" w:rsidRDefault="00430412">
            <w:pPr>
              <w:spacing w:line="276" w:lineRule="auto"/>
              <w:jc w:val="both"/>
              <w:rPr>
                <w:rFonts w:ascii="Times New Roman" w:hAnsi="Times New Roman"/>
                <w:sz w:val="24"/>
                <w:szCs w:val="24"/>
                <w:highlight w:val="yellow"/>
              </w:rPr>
            </w:pPr>
          </w:p>
          <w:p w:rsidR="00430412" w:rsidRDefault="00430412">
            <w:pPr>
              <w:spacing w:line="276" w:lineRule="auto"/>
              <w:jc w:val="both"/>
              <w:rPr>
                <w:rFonts w:ascii="Times New Roman" w:hAnsi="Times New Roman" w:cs="Times New Roman"/>
                <w:sz w:val="24"/>
                <w:szCs w:val="24"/>
                <w:highlight w:val="yellow"/>
              </w:rPr>
            </w:pPr>
          </w:p>
        </w:tc>
      </w:tr>
    </w:tbl>
    <w:p w:rsidR="00B33B36" w:rsidRDefault="00B33B36">
      <w:pPr>
        <w:pStyle w:val="Heading1"/>
        <w:numPr>
          <w:ilvl w:val="0"/>
          <w:numId w:val="0"/>
        </w:numPr>
        <w:ind w:left="992"/>
        <w:rPr>
          <w:rFonts w:ascii="Times New Roman" w:hAnsi="Times New Roman" w:cs="Times New Roman"/>
          <w:color w:val="auto"/>
        </w:rPr>
      </w:pPr>
      <w:bookmarkStart w:id="9" w:name="_Toc491427452"/>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Процент на съфинансиране</w:t>
      </w:r>
      <w:bookmarkEnd w:id="9"/>
      <w:r>
        <w:rPr>
          <w:rFonts w:ascii="Times New Roman" w:hAnsi="Times New Roman" w:cs="Times New Roman"/>
          <w:color w:val="auto"/>
        </w:rPr>
        <w:t>:</w:t>
      </w:r>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spacing w:line="276" w:lineRule="auto"/>
              <w:contextualSpacing/>
              <w:jc w:val="both"/>
              <w:rPr>
                <w:rFonts w:ascii="Times New Roman" w:hAnsi="Times New Roman"/>
                <w:b/>
                <w:sz w:val="24"/>
                <w:szCs w:val="24"/>
              </w:rPr>
            </w:pPr>
            <w:r>
              <w:rPr>
                <w:rFonts w:ascii="Times New Roman" w:hAnsi="Times New Roman"/>
                <w:b/>
                <w:sz w:val="24"/>
                <w:szCs w:val="24"/>
              </w:rPr>
              <w:t>Интензитет на подпомагане и размер на финансовата помощ:</w:t>
            </w:r>
          </w:p>
          <w:p w:rsidR="00B33B36" w:rsidRDefault="00371D29">
            <w:pPr>
              <w:spacing w:line="276" w:lineRule="auto"/>
              <w:jc w:val="both"/>
              <w:rPr>
                <w:rFonts w:ascii="Times New Roman" w:hAnsi="Times New Roman"/>
                <w:sz w:val="24"/>
                <w:szCs w:val="24"/>
                <w:lang w:val="en-US"/>
              </w:rPr>
            </w:pPr>
            <w:r>
              <w:rPr>
                <w:rFonts w:ascii="Times New Roman" w:hAnsi="Times New Roman"/>
                <w:sz w:val="24"/>
                <w:szCs w:val="24"/>
              </w:rPr>
              <w:t xml:space="preserve">За общини,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и ползи. </w:t>
            </w:r>
          </w:p>
          <w:p w:rsidR="00B33B36" w:rsidRDefault="00371D29">
            <w:pPr>
              <w:spacing w:line="276" w:lineRule="auto"/>
              <w:jc w:val="both"/>
              <w:rPr>
                <w:rFonts w:ascii="Times New Roman" w:hAnsi="Times New Roman"/>
                <w:sz w:val="24"/>
                <w:szCs w:val="24"/>
                <w:lang w:val="en-US"/>
              </w:rPr>
            </w:pPr>
            <w:r>
              <w:rPr>
                <w:rFonts w:ascii="Times New Roman" w:hAnsi="Times New Roman"/>
                <w:sz w:val="24"/>
                <w:szCs w:val="24"/>
              </w:rPr>
              <w:t xml:space="preserve">В случаите, когато размерът на допустимите разходи по инвестициите е в размер до 50 000 евро за един обект, който е с установен потенциал за генериране на приходи се предвижда финансиране в размер на 100%. </w:t>
            </w:r>
          </w:p>
          <w:p w:rsidR="00B33B36" w:rsidRDefault="00371D29">
            <w:pPr>
              <w:spacing w:line="276" w:lineRule="auto"/>
              <w:jc w:val="both"/>
              <w:rPr>
                <w:rFonts w:ascii="Times New Roman" w:hAnsi="Times New Roman" w:cs="Times New Roman"/>
                <w:sz w:val="24"/>
                <w:szCs w:val="24"/>
                <w:highlight w:val="yellow"/>
              </w:rPr>
            </w:pPr>
            <w:r>
              <w:rPr>
                <w:rFonts w:ascii="Times New Roman" w:hAnsi="Times New Roman"/>
                <w:sz w:val="24"/>
                <w:szCs w:val="24"/>
              </w:rPr>
              <w:t>За ВиК операторите размерът на финансирането се определя въз основа на одобрен индивидуален анализ (ползи-разходи) за съответния регион.</w:t>
            </w:r>
          </w:p>
        </w:tc>
      </w:tr>
    </w:tbl>
    <w:p w:rsidR="00B33B36" w:rsidRDefault="00B33B36" w:rsidP="00031B5A">
      <w:pPr>
        <w:pStyle w:val="Heading1"/>
        <w:numPr>
          <w:ilvl w:val="0"/>
          <w:numId w:val="0"/>
        </w:numPr>
        <w:rPr>
          <w:rFonts w:ascii="Times New Roman" w:hAnsi="Times New Roman" w:cs="Times New Roman"/>
        </w:rPr>
      </w:pPr>
      <w:bookmarkStart w:id="10" w:name="_Toc491427453"/>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Допустими кандидати</w:t>
      </w:r>
      <w:bookmarkEnd w:id="10"/>
      <w:r>
        <w:rPr>
          <w:rFonts w:ascii="Times New Roman" w:hAnsi="Times New Roman" w:cs="Times New Roman"/>
          <w:color w:val="auto"/>
        </w:rPr>
        <w:t>:</w:t>
      </w:r>
    </w:p>
    <w:tbl>
      <w:tblPr>
        <w:tblStyle w:val="TableGrid"/>
        <w:tblW w:w="0" w:type="auto"/>
        <w:tblLook w:val="04A0" w:firstRow="1" w:lastRow="0" w:firstColumn="1" w:lastColumn="0" w:noHBand="0" w:noVBand="1"/>
      </w:tblPr>
      <w:tblGrid>
        <w:gridCol w:w="9889"/>
      </w:tblGrid>
      <w:tr w:rsidR="00B33B36" w:rsidTr="00443ADB">
        <w:tc>
          <w:tcPr>
            <w:tcW w:w="9889" w:type="dxa"/>
          </w:tcPr>
          <w:p w:rsidR="00B33B36" w:rsidRDefault="00ED7405">
            <w:pPr>
              <w:jc w:val="both"/>
              <w:rPr>
                <w:rFonts w:ascii="Times New Roman" w:hAnsi="Times New Roman" w:cs="Times New Roman"/>
                <w:sz w:val="24"/>
                <w:szCs w:val="24"/>
              </w:rPr>
            </w:pPr>
            <w:r>
              <w:rPr>
                <w:rFonts w:ascii="Times New Roman" w:hAnsi="Times New Roman" w:cs="Times New Roman"/>
                <w:sz w:val="24"/>
                <w:szCs w:val="24"/>
              </w:rPr>
              <w:t>-</w:t>
            </w:r>
            <w:r w:rsidR="00371D29">
              <w:rPr>
                <w:rFonts w:ascii="Times New Roman" w:hAnsi="Times New Roman" w:cs="Times New Roman"/>
                <w:sz w:val="24"/>
                <w:szCs w:val="24"/>
              </w:rPr>
              <w:t xml:space="preserve">Общини на територията на МИГ за всички допустими дейности по подмярката с изключение на дейности, свързани с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 </w:t>
            </w:r>
          </w:p>
          <w:p w:rsidR="00B33B36" w:rsidRDefault="00ED7405">
            <w:pPr>
              <w:jc w:val="both"/>
              <w:rPr>
                <w:rFonts w:ascii="Times New Roman" w:hAnsi="Times New Roman" w:cs="Times New Roman"/>
                <w:sz w:val="24"/>
                <w:szCs w:val="24"/>
              </w:rPr>
            </w:pPr>
            <w:r>
              <w:rPr>
                <w:rFonts w:ascii="Times New Roman" w:hAnsi="Times New Roman" w:cs="Times New Roman"/>
                <w:sz w:val="24"/>
                <w:szCs w:val="24"/>
              </w:rPr>
              <w:t>-</w:t>
            </w:r>
            <w:r w:rsidR="00371D29">
              <w:rPr>
                <w:rFonts w:ascii="Times New Roman" w:hAnsi="Times New Roman" w:cs="Times New Roman"/>
                <w:sz w:val="24"/>
                <w:szCs w:val="24"/>
              </w:rPr>
              <w:t xml:space="preserve">Юридически лица с нестопанска цел за дейности, свързани със социалната и спортната инфраструктура и културния живот; </w:t>
            </w:r>
          </w:p>
          <w:p w:rsidR="00B33B36" w:rsidRDefault="00ED7405">
            <w:pPr>
              <w:jc w:val="both"/>
              <w:rPr>
                <w:rFonts w:ascii="Times New Roman" w:hAnsi="Times New Roman" w:cs="Times New Roman"/>
                <w:sz w:val="24"/>
                <w:szCs w:val="24"/>
              </w:rPr>
            </w:pPr>
            <w:r>
              <w:rPr>
                <w:rFonts w:ascii="Times New Roman" w:hAnsi="Times New Roman" w:cs="Times New Roman"/>
                <w:sz w:val="24"/>
                <w:szCs w:val="24"/>
              </w:rPr>
              <w:t>-</w:t>
            </w:r>
            <w:r w:rsidR="00371D29">
              <w:rPr>
                <w:rFonts w:ascii="Times New Roman" w:hAnsi="Times New Roman" w:cs="Times New Roman"/>
                <w:sz w:val="24"/>
                <w:szCs w:val="24"/>
              </w:rPr>
              <w:t xml:space="preserve">Читалища за дейности свързани с културния живот; </w:t>
            </w:r>
          </w:p>
          <w:p w:rsidR="000D573A" w:rsidRPr="00067CA7" w:rsidRDefault="00ED7405">
            <w:pPr>
              <w:jc w:val="both"/>
              <w:rPr>
                <w:rFonts w:ascii="Times New Roman" w:hAnsi="Times New Roman" w:cs="Times New Roman"/>
                <w:sz w:val="24"/>
                <w:szCs w:val="24"/>
                <w:lang w:val="en-US"/>
              </w:rPr>
            </w:pPr>
            <w:r>
              <w:rPr>
                <w:rFonts w:ascii="Times New Roman" w:hAnsi="Times New Roman" w:cs="Times New Roman"/>
                <w:sz w:val="24"/>
                <w:szCs w:val="24"/>
              </w:rPr>
              <w:t>-</w:t>
            </w:r>
            <w:r w:rsidR="00371D29">
              <w:rPr>
                <w:rFonts w:ascii="Times New Roman" w:hAnsi="Times New Roman" w:cs="Times New Roman"/>
                <w:sz w:val="24"/>
                <w:szCs w:val="24"/>
              </w:rPr>
              <w:t>ВиК оператори за дейности, свързани с изграждане, реконструкция и/или рехабилитация на водоснабдителни системи и съоръжения в агломерации с под 2 000 е.ж. в селските райони и дейности, свързани с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ED7405" w:rsidRPr="00ED7405" w:rsidRDefault="00ED7405" w:rsidP="00ED7405">
            <w:pPr>
              <w:widowControl w:val="0"/>
              <w:autoSpaceDE w:val="0"/>
              <w:autoSpaceDN w:val="0"/>
              <w:adjustRightInd w:val="0"/>
              <w:spacing w:line="276" w:lineRule="auto"/>
              <w:jc w:val="both"/>
              <w:rPr>
                <w:rFonts w:ascii="Times New Roman" w:hAnsi="Times New Roman" w:cs="Times New Roman"/>
                <w:sz w:val="24"/>
                <w:szCs w:val="24"/>
              </w:rPr>
            </w:pPr>
            <w:r w:rsidRPr="00ED7405">
              <w:rPr>
                <w:rFonts w:ascii="Times New Roman" w:hAnsi="Times New Roman" w:cs="Times New Roman"/>
                <w:b/>
                <w:sz w:val="24"/>
                <w:szCs w:val="24"/>
              </w:rPr>
              <w:t>Кандидатът/получателят на финансова помощ</w:t>
            </w:r>
            <w:r w:rsidRPr="00ED7405">
              <w:rPr>
                <w:rFonts w:ascii="Times New Roman" w:hAnsi="Times New Roman" w:cs="Times New Roman"/>
                <w:sz w:val="24"/>
                <w:szCs w:val="24"/>
              </w:rPr>
              <w:t xml:space="preserve"> следва да има седалище и адрес на управление на територията на действие на МИГ Преспа-общини Баните,</w:t>
            </w:r>
            <w:r>
              <w:rPr>
                <w:rFonts w:ascii="Times New Roman" w:hAnsi="Times New Roman" w:cs="Times New Roman"/>
                <w:sz w:val="24"/>
                <w:szCs w:val="24"/>
              </w:rPr>
              <w:t xml:space="preserve"> </w:t>
            </w:r>
            <w:r w:rsidRPr="00ED7405">
              <w:rPr>
                <w:rFonts w:ascii="Times New Roman" w:hAnsi="Times New Roman" w:cs="Times New Roman"/>
                <w:sz w:val="24"/>
                <w:szCs w:val="24"/>
              </w:rPr>
              <w:t>Лъки и Чепеларе</w:t>
            </w:r>
            <w:r>
              <w:rPr>
                <w:rFonts w:ascii="Times New Roman" w:hAnsi="Times New Roman" w:cs="Times New Roman"/>
                <w:sz w:val="24"/>
                <w:szCs w:val="24"/>
              </w:rPr>
              <w:t>, както и</w:t>
            </w:r>
            <w:r w:rsidRPr="00ED7405">
              <w:rPr>
                <w:rFonts w:ascii="Times New Roman" w:hAnsi="Times New Roman" w:cs="Times New Roman"/>
                <w:sz w:val="24"/>
                <w:szCs w:val="24"/>
              </w:rPr>
              <w:t xml:space="preserve"> да осъществяват дейностите по проекта на територията на МИГ Преспа-общини Баните, Лъки и Чепеларе. </w:t>
            </w:r>
          </w:p>
          <w:p w:rsidR="00ED7405" w:rsidRPr="00ED7405" w:rsidRDefault="00ED7405" w:rsidP="00ED7405">
            <w:pPr>
              <w:widowControl w:val="0"/>
              <w:autoSpaceDE w:val="0"/>
              <w:autoSpaceDN w:val="0"/>
              <w:adjustRightInd w:val="0"/>
              <w:spacing w:line="276" w:lineRule="auto"/>
              <w:ind w:left="360"/>
              <w:jc w:val="both"/>
              <w:rPr>
                <w:rFonts w:ascii="Times New Roman" w:hAnsi="Times New Roman" w:cs="Times New Roman"/>
                <w:sz w:val="24"/>
                <w:szCs w:val="24"/>
              </w:rPr>
            </w:pPr>
          </w:p>
          <w:p w:rsidR="00ED7405" w:rsidRPr="00ED7405" w:rsidRDefault="009A2BB4" w:rsidP="00ED7405">
            <w:pPr>
              <w:widowControl w:val="0"/>
              <w:autoSpaceDE w:val="0"/>
              <w:autoSpaceDN w:val="0"/>
              <w:adjustRightInd w:val="0"/>
              <w:spacing w:line="276"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11</w:t>
            </w:r>
            <w:r>
              <w:rPr>
                <w:rFonts w:ascii="Times New Roman" w:hAnsi="Times New Roman" w:cs="Times New Roman"/>
                <w:b/>
                <w:sz w:val="24"/>
                <w:szCs w:val="24"/>
                <w:u w:val="single"/>
              </w:rPr>
              <w:t>.1 Не</w:t>
            </w:r>
            <w:r w:rsidR="00ED7405" w:rsidRPr="00ED7405">
              <w:rPr>
                <w:rFonts w:ascii="Times New Roman" w:hAnsi="Times New Roman" w:cs="Times New Roman"/>
                <w:b/>
                <w:sz w:val="24"/>
                <w:szCs w:val="24"/>
                <w:u w:val="single"/>
              </w:rPr>
              <w:t>допустими</w:t>
            </w:r>
            <w:r>
              <w:rPr>
                <w:rFonts w:ascii="Times New Roman" w:hAnsi="Times New Roman" w:cs="Times New Roman"/>
                <w:b/>
                <w:sz w:val="24"/>
                <w:szCs w:val="24"/>
                <w:u w:val="single"/>
              </w:rPr>
              <w:t xml:space="preserve"> кандидати</w:t>
            </w:r>
            <w:r w:rsidR="00ED7405" w:rsidRPr="00ED7405">
              <w:rPr>
                <w:rFonts w:ascii="Times New Roman" w:hAnsi="Times New Roman" w:cs="Times New Roman"/>
                <w:b/>
                <w:sz w:val="24"/>
                <w:szCs w:val="24"/>
                <w:u w:val="single"/>
              </w:rPr>
              <w:t xml:space="preserve">: </w:t>
            </w:r>
          </w:p>
          <w:p w:rsidR="00ED7405" w:rsidRPr="00ED7405" w:rsidRDefault="00ED7405" w:rsidP="00ED7405">
            <w:pPr>
              <w:widowControl w:val="0"/>
              <w:autoSpaceDE w:val="0"/>
              <w:autoSpaceDN w:val="0"/>
              <w:adjustRightInd w:val="0"/>
              <w:spacing w:line="276" w:lineRule="auto"/>
              <w:jc w:val="both"/>
              <w:rPr>
                <w:rFonts w:ascii="Times New Roman" w:hAnsi="Times New Roman" w:cs="Times New Roman"/>
                <w:sz w:val="24"/>
                <w:szCs w:val="24"/>
              </w:rPr>
            </w:pPr>
            <w:r w:rsidRPr="00ED7405">
              <w:rPr>
                <w:rFonts w:ascii="Times New Roman" w:hAnsi="Times New Roman" w:cs="Times New Roman"/>
                <w:sz w:val="24"/>
                <w:szCs w:val="24"/>
              </w:rPr>
              <w:t xml:space="preserve">      Потенциалните кандидати не могат да участват в процедурата за подбор на проекти и да получат безвъзмездна финансова помощ, в случай че: </w:t>
            </w:r>
          </w:p>
          <w:p w:rsidR="00ED7405" w:rsidRPr="00ED7405" w:rsidRDefault="00ED7405" w:rsidP="00ED7405">
            <w:pPr>
              <w:widowControl w:val="0"/>
              <w:autoSpaceDE w:val="0"/>
              <w:autoSpaceDN w:val="0"/>
              <w:adjustRightInd w:val="0"/>
              <w:spacing w:line="276" w:lineRule="auto"/>
              <w:jc w:val="both"/>
              <w:rPr>
                <w:rFonts w:ascii="Times New Roman" w:hAnsi="Times New Roman" w:cs="Times New Roman"/>
                <w:sz w:val="24"/>
                <w:szCs w:val="24"/>
              </w:rPr>
            </w:pPr>
            <w:r w:rsidRPr="00ED7405">
              <w:rPr>
                <w:rFonts w:ascii="Times New Roman" w:hAnsi="Times New Roman" w:cs="Times New Roman"/>
                <w:sz w:val="24"/>
                <w:szCs w:val="24"/>
              </w:rPr>
              <w:t xml:space="preserve">1. получател на финансова помощ е клон на юридическо лице или на едноличен търговец, ако юридическото лице или едноличният търговец, открил клона няма седалище и адрес на управление на територията на действие на МИГ Преспа-общини Баните,Лъки и Чепеларе и не осъществява дейностите по проекта на територията на МИГ Преспа-общини Баните,Лъки и Чепеларе. </w:t>
            </w:r>
          </w:p>
          <w:p w:rsidR="00067CA7" w:rsidRPr="00067CA7" w:rsidRDefault="00ED7405" w:rsidP="00067CA7">
            <w:pPr>
              <w:spacing w:line="276" w:lineRule="auto"/>
              <w:ind w:firstLine="142"/>
              <w:jc w:val="both"/>
              <w:rPr>
                <w:rFonts w:ascii="Times New Roman" w:hAnsi="Times New Roman" w:cs="Times New Roman"/>
                <w:sz w:val="24"/>
                <w:szCs w:val="24"/>
              </w:rPr>
            </w:pPr>
            <w:r w:rsidRPr="00067CA7">
              <w:rPr>
                <w:rFonts w:ascii="Times New Roman" w:hAnsi="Times New Roman" w:cs="Times New Roman"/>
                <w:sz w:val="24"/>
                <w:szCs w:val="24"/>
              </w:rPr>
              <w:t xml:space="preserve">2. </w:t>
            </w:r>
            <w:r w:rsidR="00067CA7" w:rsidRPr="00067CA7">
              <w:rPr>
                <w:rFonts w:ascii="Times New Roman" w:hAnsi="Times New Roman" w:cs="Times New Roman"/>
                <w:sz w:val="24"/>
                <w:szCs w:val="24"/>
              </w:rPr>
              <w:t xml:space="preserve">Съгласно заповед № РД 09-359 от 27.04.2020 г., изменена със Заповед №РД09-442/04.06.2020 г. на Ръководителя на УО на ПРСР 2014 - 2020 г., </w:t>
            </w:r>
            <w:r w:rsidR="00067CA7" w:rsidRPr="00067CA7">
              <w:rPr>
                <w:rFonts w:ascii="Times New Roman" w:hAnsi="Times New Roman" w:cs="Times New Roman"/>
                <w:b/>
                <w:sz w:val="24"/>
                <w:szCs w:val="24"/>
                <w:u w:val="single"/>
              </w:rPr>
              <w:t>не е допустим кандидат/получател</w:t>
            </w:r>
            <w:r w:rsidR="00067CA7" w:rsidRPr="00067CA7">
              <w:rPr>
                <w:rFonts w:ascii="Times New Roman" w:hAnsi="Times New Roman" w:cs="Times New Roman"/>
                <w:sz w:val="24"/>
                <w:szCs w:val="24"/>
              </w:rPr>
              <w:t xml:space="preserve"> на помощ и/или негов законен или упълномощен представител, който </w:t>
            </w:r>
            <w:r w:rsidR="00067CA7" w:rsidRPr="00067CA7">
              <w:rPr>
                <w:rFonts w:ascii="Times New Roman" w:hAnsi="Times New Roman" w:cs="Times New Roman"/>
                <w:b/>
                <w:sz w:val="24"/>
                <w:szCs w:val="24"/>
                <w:u w:val="single"/>
              </w:rPr>
              <w:t>не отговаря</w:t>
            </w:r>
            <w:r w:rsidR="00067CA7" w:rsidRPr="00067CA7">
              <w:rPr>
                <w:rFonts w:ascii="Times New Roman" w:hAnsi="Times New Roman" w:cs="Times New Roman"/>
                <w:sz w:val="24"/>
                <w:szCs w:val="24"/>
              </w:rPr>
              <w:t xml:space="preserve"> на следните условия:</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2.1. не съм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lastRenderedPageBreak/>
              <w:t>2.2. не съм осъден/а с влязла в сила присъда за престъпление, аналогично на тези по т. 2.1, в друга държава членка или трета страна;</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2.4. не е налице неравнопоставеност в случаите по чл. 44, ал. 5 от ЗОП;</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2.5. не е установено с акт на компетентен орган, че:а) съм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подбор/избор;б) не съм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2.8. не съм обявен в несъстоятелност или в производство по несъстоятелност, не съм в процедура по ликвидация, не съм сключил извънсъдебно споразумение с кредиторите си по смисъла на чл. 740 от Търговския закон, не съм преустановил дейността си, а в случай че кандидатът е чуждестранно лице – не се намирам в подобно положение, произтичащо от сходна процедура, съгласно законодателството на държавата, в която съм установен;</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2.9. не е установено, че не съм изпълнил/а разпореждане на Европейската комисия за възстановяване на предоставена неправомерна и несъвместима държавна помощ.</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2.10. не съм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2.11. не съм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770F39"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hAnsi="Times New Roman" w:cs="Times New Roman"/>
                <w:sz w:val="24"/>
                <w:szCs w:val="24"/>
              </w:rPr>
              <w:t>2.12.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ED7405" w:rsidRPr="00ED7405" w:rsidRDefault="00ED7405" w:rsidP="00ED7405">
            <w:pPr>
              <w:widowControl w:val="0"/>
              <w:autoSpaceDE w:val="0"/>
              <w:autoSpaceDN w:val="0"/>
              <w:adjustRightInd w:val="0"/>
              <w:jc w:val="both"/>
              <w:rPr>
                <w:rFonts w:ascii="Times New Roman" w:eastAsia="Calibri" w:hAnsi="Times New Roman" w:cs="Times New Roman"/>
                <w:sz w:val="24"/>
                <w:szCs w:val="24"/>
              </w:rPr>
            </w:pPr>
            <w:r w:rsidRPr="00ED7405">
              <w:rPr>
                <w:rFonts w:ascii="Times New Roman" w:hAnsi="Times New Roman" w:cs="Times New Roman"/>
                <w:sz w:val="24"/>
                <w:szCs w:val="24"/>
              </w:rPr>
              <w:t>2.13. не съм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rsidR="00ED7405" w:rsidRDefault="00ED7405" w:rsidP="00ED7405">
            <w:pPr>
              <w:widowControl w:val="0"/>
              <w:autoSpaceDE w:val="0"/>
              <w:autoSpaceDN w:val="0"/>
              <w:adjustRightInd w:val="0"/>
              <w:jc w:val="both"/>
              <w:rPr>
                <w:rFonts w:ascii="Times New Roman" w:hAnsi="Times New Roman" w:cs="Times New Roman"/>
                <w:sz w:val="24"/>
                <w:szCs w:val="24"/>
              </w:rPr>
            </w:pPr>
            <w:r w:rsidRPr="00ED7405">
              <w:rPr>
                <w:rFonts w:ascii="Times New Roman" w:eastAsia="Calibri" w:hAnsi="Times New Roman" w:cs="Times New Roman"/>
                <w:sz w:val="24"/>
                <w:szCs w:val="24"/>
              </w:rPr>
              <w:t xml:space="preserve">Кандидатите/получателите на финансова помощ декларират липсата на обстоятелства по т. 2.1 до 2.10, като основанията по т. 2.1, 2.2, 2.7 и 2.10 се отнасят за представляващия/те юридическото лице. Кандидат/получател – община не декларира обстоятелствата по т. 2.3-попълва се </w:t>
            </w:r>
            <w:r w:rsidR="00392654">
              <w:rPr>
                <w:rFonts w:ascii="Times New Roman" w:hAnsi="Times New Roman" w:cs="Times New Roman"/>
                <w:sz w:val="24"/>
                <w:szCs w:val="24"/>
              </w:rPr>
              <w:t xml:space="preserve"> Декларация</w:t>
            </w:r>
            <w:r w:rsidR="00AF3BB9">
              <w:rPr>
                <w:rFonts w:ascii="Times New Roman" w:hAnsi="Times New Roman" w:cs="Times New Roman"/>
                <w:sz w:val="24"/>
                <w:szCs w:val="24"/>
                <w:lang w:val="en-US"/>
              </w:rPr>
              <w:t xml:space="preserve"> </w:t>
            </w:r>
            <w:r w:rsidR="00AF3BB9">
              <w:rPr>
                <w:rFonts w:ascii="Times New Roman" w:hAnsi="Times New Roman" w:cs="Times New Roman"/>
                <w:sz w:val="24"/>
                <w:szCs w:val="24"/>
              </w:rPr>
              <w:t>приложение № 5</w:t>
            </w:r>
            <w:r w:rsidR="00392654">
              <w:rPr>
                <w:rFonts w:ascii="Times New Roman" w:hAnsi="Times New Roman" w:cs="Times New Roman"/>
                <w:sz w:val="24"/>
                <w:szCs w:val="24"/>
              </w:rPr>
              <w:t xml:space="preserve"> - </w:t>
            </w:r>
            <w:r w:rsidRPr="00ED7405">
              <w:rPr>
                <w:rFonts w:ascii="Times New Roman" w:hAnsi="Times New Roman" w:cs="Times New Roman"/>
                <w:sz w:val="24"/>
                <w:szCs w:val="24"/>
              </w:rPr>
              <w:t xml:space="preserve"> от Документите към условията за кандидатстване.</w:t>
            </w:r>
          </w:p>
          <w:p w:rsidR="00ED7405" w:rsidRDefault="00ED7405" w:rsidP="00ED7405">
            <w:pPr>
              <w:widowControl w:val="0"/>
              <w:autoSpaceDE w:val="0"/>
              <w:autoSpaceDN w:val="0"/>
              <w:adjustRightInd w:val="0"/>
              <w:jc w:val="both"/>
              <w:rPr>
                <w:rFonts w:ascii="Times New Roman" w:eastAsia="Calibri" w:hAnsi="Times New Roman" w:cs="Times New Roman"/>
                <w:sz w:val="24"/>
                <w:szCs w:val="24"/>
                <w:lang w:val="en-US"/>
              </w:rPr>
            </w:pPr>
          </w:p>
          <w:p w:rsidR="00CD784F" w:rsidRPr="00CD784F" w:rsidRDefault="00CD784F" w:rsidP="00ED7405">
            <w:pPr>
              <w:widowControl w:val="0"/>
              <w:autoSpaceDE w:val="0"/>
              <w:autoSpaceDN w:val="0"/>
              <w:adjustRightInd w:val="0"/>
              <w:jc w:val="both"/>
              <w:rPr>
                <w:rFonts w:ascii="Times New Roman" w:eastAsia="Calibri" w:hAnsi="Times New Roman" w:cs="Times New Roman"/>
                <w:sz w:val="24"/>
                <w:szCs w:val="24"/>
                <w:lang w:val="en-US"/>
              </w:rPr>
            </w:pPr>
          </w:p>
          <w:p w:rsidR="00770F39" w:rsidRDefault="00ED7405" w:rsidP="00ED7405">
            <w:pPr>
              <w:widowControl w:val="0"/>
              <w:autoSpaceDE w:val="0"/>
              <w:autoSpaceDN w:val="0"/>
              <w:adjustRightInd w:val="0"/>
              <w:spacing w:line="276" w:lineRule="auto"/>
              <w:jc w:val="both"/>
              <w:rPr>
                <w:rFonts w:ascii="Times New Roman" w:hAnsi="Times New Roman" w:cs="Times New Roman"/>
                <w:sz w:val="24"/>
                <w:szCs w:val="24"/>
              </w:rPr>
            </w:pPr>
            <w:r w:rsidRPr="00ED7405">
              <w:rPr>
                <w:rFonts w:ascii="Times New Roman" w:hAnsi="Times New Roman" w:cs="Times New Roman"/>
                <w:sz w:val="24"/>
                <w:szCs w:val="24"/>
              </w:rPr>
              <w:t xml:space="preserve">          </w:t>
            </w:r>
          </w:p>
          <w:p w:rsidR="00067CA7" w:rsidRPr="00067CA7" w:rsidRDefault="00ED7405" w:rsidP="00067CA7">
            <w:pPr>
              <w:jc w:val="both"/>
              <w:rPr>
                <w:rFonts w:ascii="Times New Roman" w:hAnsi="Times New Roman" w:cs="Times New Roman"/>
                <w:sz w:val="24"/>
                <w:szCs w:val="24"/>
              </w:rPr>
            </w:pPr>
            <w:r w:rsidRPr="00067CA7">
              <w:rPr>
                <w:rFonts w:ascii="Times New Roman" w:hAnsi="Times New Roman" w:cs="Times New Roman"/>
                <w:sz w:val="24"/>
                <w:szCs w:val="24"/>
              </w:rPr>
              <w:lastRenderedPageBreak/>
              <w:t xml:space="preserve"> </w:t>
            </w:r>
            <w:r w:rsidR="00067CA7" w:rsidRPr="00067CA7">
              <w:rPr>
                <w:rFonts w:ascii="Times New Roman" w:hAnsi="Times New Roman" w:cs="Times New Roman"/>
                <w:sz w:val="24"/>
                <w:szCs w:val="24"/>
              </w:rPr>
              <w:t xml:space="preserve">Съгласно Заповед № РД 09-647 от 3.07.2019 г. на Заместник-министър на земеделието, храните и горите и Ръководител на УО на ПРСР 2014-2020, </w:t>
            </w:r>
            <w:r w:rsidR="00067CA7" w:rsidRPr="00067CA7">
              <w:rPr>
                <w:rFonts w:ascii="Times New Roman" w:hAnsi="Times New Roman" w:cs="Times New Roman"/>
                <w:b/>
                <w:sz w:val="24"/>
                <w:szCs w:val="24"/>
                <w:u w:val="single"/>
              </w:rPr>
              <w:t>не е допустим</w:t>
            </w:r>
            <w:r w:rsidR="00067CA7" w:rsidRPr="00067CA7">
              <w:rPr>
                <w:rFonts w:ascii="Times New Roman" w:hAnsi="Times New Roman" w:cs="Times New Roman"/>
                <w:sz w:val="24"/>
                <w:szCs w:val="24"/>
              </w:rPr>
              <w:t xml:space="preserve"> кандидат/получател на помощ и</w:t>
            </w:r>
            <w:r w:rsidR="00067CA7">
              <w:rPr>
                <w:rFonts w:ascii="Times New Roman" w:hAnsi="Times New Roman" w:cs="Times New Roman"/>
                <w:sz w:val="24"/>
                <w:szCs w:val="24"/>
                <w:lang w:val="en-US"/>
              </w:rPr>
              <w:t xml:space="preserve"> </w:t>
            </w:r>
            <w:r w:rsidR="00067CA7" w:rsidRPr="00067CA7">
              <w:rPr>
                <w:rFonts w:ascii="Times New Roman" w:hAnsi="Times New Roman" w:cs="Times New Roman"/>
                <w:sz w:val="24"/>
                <w:szCs w:val="24"/>
              </w:rPr>
              <w:t>/</w:t>
            </w:r>
            <w:r w:rsidR="00067CA7">
              <w:rPr>
                <w:rFonts w:ascii="Times New Roman" w:hAnsi="Times New Roman" w:cs="Times New Roman"/>
                <w:sz w:val="24"/>
                <w:szCs w:val="24"/>
                <w:lang w:val="en-US"/>
              </w:rPr>
              <w:t xml:space="preserve"> </w:t>
            </w:r>
            <w:r w:rsidR="00067CA7" w:rsidRPr="00067CA7">
              <w:rPr>
                <w:rFonts w:ascii="Times New Roman" w:hAnsi="Times New Roman" w:cs="Times New Roman"/>
                <w:sz w:val="24"/>
                <w:szCs w:val="24"/>
              </w:rPr>
              <w:t xml:space="preserve">или негов законен или упълномощен представител, който </w:t>
            </w:r>
            <w:r w:rsidR="00067CA7" w:rsidRPr="00067CA7">
              <w:rPr>
                <w:rFonts w:ascii="Times New Roman" w:hAnsi="Times New Roman" w:cs="Times New Roman"/>
                <w:b/>
                <w:sz w:val="24"/>
                <w:szCs w:val="24"/>
                <w:u w:val="single"/>
              </w:rPr>
              <w:t>не отговаря</w:t>
            </w:r>
            <w:r w:rsidR="00067CA7" w:rsidRPr="00067CA7">
              <w:rPr>
                <w:rFonts w:ascii="Times New Roman" w:hAnsi="Times New Roman" w:cs="Times New Roman"/>
                <w:sz w:val="24"/>
                <w:szCs w:val="24"/>
              </w:rPr>
              <w:t xml:space="preserve"> на следните условия: </w:t>
            </w:r>
          </w:p>
          <w:p w:rsidR="00067CA7" w:rsidRPr="00067CA7" w:rsidRDefault="00067CA7" w:rsidP="00067CA7">
            <w:pPr>
              <w:jc w:val="both"/>
              <w:rPr>
                <w:rFonts w:ascii="Times New Roman" w:hAnsi="Times New Roman" w:cs="Times New Roman"/>
                <w:sz w:val="24"/>
                <w:szCs w:val="24"/>
              </w:rPr>
            </w:pPr>
          </w:p>
          <w:p w:rsidR="00067CA7" w:rsidRPr="00067CA7" w:rsidRDefault="00067CA7" w:rsidP="00067CA7">
            <w:pPr>
              <w:jc w:val="both"/>
              <w:rPr>
                <w:rFonts w:ascii="Times New Roman" w:hAnsi="Times New Roman" w:cs="Times New Roman"/>
                <w:sz w:val="24"/>
                <w:szCs w:val="24"/>
              </w:rPr>
            </w:pPr>
            <w:r w:rsidRPr="00067CA7">
              <w:rPr>
                <w:rFonts w:ascii="Times New Roman" w:hAnsi="Times New Roman" w:cs="Times New Roman"/>
                <w:sz w:val="24"/>
                <w:szCs w:val="24"/>
              </w:rPr>
              <w:t>1. Не е 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 на местната инициативна група или кмета на съответната община на територията на МИГ.</w:t>
            </w:r>
          </w:p>
          <w:p w:rsidR="00067CA7" w:rsidRPr="00067CA7" w:rsidRDefault="00067CA7" w:rsidP="00067CA7">
            <w:pPr>
              <w:jc w:val="both"/>
              <w:rPr>
                <w:rFonts w:ascii="Times New Roman" w:hAnsi="Times New Roman" w:cs="Times New Roman"/>
                <w:sz w:val="24"/>
                <w:szCs w:val="24"/>
              </w:rPr>
            </w:pPr>
            <w:r w:rsidRPr="00067CA7">
              <w:rPr>
                <w:rFonts w:ascii="Times New Roman" w:hAnsi="Times New Roman" w:cs="Times New Roman"/>
                <w:sz w:val="24"/>
                <w:szCs w:val="24"/>
              </w:rPr>
              <w:t>2. Не е член на колективния управителен орган или на контролния орган на МИГ и не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067CA7" w:rsidRDefault="00067CA7" w:rsidP="00067CA7">
            <w:pPr>
              <w:jc w:val="both"/>
              <w:rPr>
                <w:rFonts w:ascii="Times New Roman" w:hAnsi="Times New Roman" w:cs="Times New Roman"/>
                <w:sz w:val="24"/>
                <w:szCs w:val="24"/>
                <w:lang w:val="en-US"/>
              </w:rPr>
            </w:pPr>
            <w:r w:rsidRPr="00067CA7">
              <w:rPr>
                <w:rFonts w:ascii="Times New Roman" w:hAnsi="Times New Roman" w:cs="Times New Roman"/>
                <w:sz w:val="24"/>
                <w:szCs w:val="24"/>
              </w:rPr>
              <w:t>3. Не е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067CA7" w:rsidRPr="00067CA7" w:rsidRDefault="00067CA7" w:rsidP="00067CA7">
            <w:pPr>
              <w:jc w:val="both"/>
              <w:rPr>
                <w:rFonts w:ascii="Times New Roman" w:hAnsi="Times New Roman" w:cs="Times New Roman"/>
                <w:sz w:val="24"/>
                <w:szCs w:val="24"/>
                <w:lang w:val="en-US"/>
              </w:rPr>
            </w:pPr>
          </w:p>
          <w:p w:rsidR="00067CA7" w:rsidRPr="00067CA7" w:rsidRDefault="00067CA7" w:rsidP="00067CA7">
            <w:pPr>
              <w:jc w:val="both"/>
              <w:rPr>
                <w:rFonts w:ascii="Times New Roman" w:hAnsi="Times New Roman" w:cs="Times New Roman"/>
                <w:sz w:val="24"/>
                <w:szCs w:val="24"/>
              </w:rPr>
            </w:pPr>
            <w:r w:rsidRPr="00067CA7">
              <w:rPr>
                <w:rFonts w:ascii="Times New Roman" w:hAnsi="Times New Roman" w:cs="Times New Roman"/>
                <w:sz w:val="24"/>
                <w:szCs w:val="24"/>
              </w:rPr>
              <w:t>Кандидатите прилагат Декларация за липса на основания за отстраняване от представляващия/те канди</w:t>
            </w:r>
            <w:r w:rsidR="00CD784F">
              <w:rPr>
                <w:rFonts w:ascii="Times New Roman" w:hAnsi="Times New Roman" w:cs="Times New Roman"/>
                <w:sz w:val="24"/>
                <w:szCs w:val="24"/>
              </w:rPr>
              <w:t xml:space="preserve">дата (по образец, Приложение № </w:t>
            </w:r>
            <w:r w:rsidR="00CD784F">
              <w:rPr>
                <w:rFonts w:ascii="Times New Roman" w:hAnsi="Times New Roman" w:cs="Times New Roman"/>
                <w:sz w:val="24"/>
                <w:szCs w:val="24"/>
                <w:lang w:val="en-US"/>
              </w:rPr>
              <w:t>5</w:t>
            </w:r>
            <w:r w:rsidRPr="00067CA7">
              <w:rPr>
                <w:rFonts w:ascii="Times New Roman" w:hAnsi="Times New Roman" w:cs="Times New Roman"/>
                <w:sz w:val="24"/>
                <w:szCs w:val="24"/>
              </w:rPr>
              <w:t xml:space="preserve"> от документи за попълване), Декларация за липс</w:t>
            </w:r>
            <w:r w:rsidR="00CD784F">
              <w:rPr>
                <w:rFonts w:ascii="Times New Roman" w:hAnsi="Times New Roman" w:cs="Times New Roman"/>
                <w:sz w:val="24"/>
                <w:szCs w:val="24"/>
              </w:rPr>
              <w:t xml:space="preserve">а на свързаност (Приложение № </w:t>
            </w:r>
            <w:r w:rsidR="00CD784F">
              <w:rPr>
                <w:rFonts w:ascii="Times New Roman" w:hAnsi="Times New Roman" w:cs="Times New Roman"/>
                <w:sz w:val="24"/>
                <w:szCs w:val="24"/>
                <w:lang w:val="en-US"/>
              </w:rPr>
              <w:t>20</w:t>
            </w:r>
            <w:r w:rsidRPr="00067CA7">
              <w:rPr>
                <w:rFonts w:ascii="Times New Roman" w:hAnsi="Times New Roman" w:cs="Times New Roman"/>
                <w:sz w:val="24"/>
                <w:szCs w:val="24"/>
              </w:rPr>
              <w:t xml:space="preserve"> от документи за попълване).</w:t>
            </w:r>
          </w:p>
          <w:p w:rsidR="000D573A" w:rsidRPr="00067CA7" w:rsidRDefault="000D573A" w:rsidP="00067CA7">
            <w:pPr>
              <w:widowControl w:val="0"/>
              <w:autoSpaceDE w:val="0"/>
              <w:autoSpaceDN w:val="0"/>
              <w:adjustRightInd w:val="0"/>
              <w:spacing w:line="276" w:lineRule="auto"/>
              <w:jc w:val="both"/>
              <w:rPr>
                <w:rFonts w:ascii="Times New Roman" w:hAnsi="Times New Roman" w:cs="Times New Roman"/>
                <w:sz w:val="24"/>
                <w:szCs w:val="24"/>
                <w:highlight w:val="yellow"/>
                <w:lang w:val="en-US"/>
              </w:rPr>
            </w:pPr>
          </w:p>
        </w:tc>
      </w:tr>
    </w:tbl>
    <w:p w:rsidR="00B33B36" w:rsidRDefault="00B33B36" w:rsidP="00031B5A">
      <w:pPr>
        <w:pStyle w:val="Heading1"/>
        <w:numPr>
          <w:ilvl w:val="0"/>
          <w:numId w:val="0"/>
        </w:numPr>
        <w:rPr>
          <w:rFonts w:ascii="Times New Roman" w:hAnsi="Times New Roman" w:cs="Times New Roman"/>
          <w:color w:val="auto"/>
        </w:rPr>
      </w:pPr>
      <w:bookmarkStart w:id="11" w:name="_Toc491427454"/>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Допустими партньори (ако е приложимо):</w:t>
      </w:r>
      <w:bookmarkEnd w:id="11"/>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pStyle w:val="ListParagraph"/>
              <w:ind w:left="382"/>
              <w:rPr>
                <w:rFonts w:ascii="Times New Roman" w:hAnsi="Times New Roman" w:cs="Times New Roman"/>
                <w:sz w:val="24"/>
                <w:szCs w:val="24"/>
              </w:rPr>
            </w:pPr>
            <w:r>
              <w:rPr>
                <w:rFonts w:ascii="Times New Roman" w:hAnsi="Times New Roman" w:cs="Times New Roman"/>
                <w:sz w:val="24"/>
                <w:szCs w:val="24"/>
              </w:rPr>
              <w:t>Неприложимо</w:t>
            </w:r>
          </w:p>
        </w:tc>
      </w:tr>
    </w:tbl>
    <w:p w:rsidR="00B33B36" w:rsidRDefault="00B33B36">
      <w:pPr>
        <w:pStyle w:val="Heading1"/>
        <w:numPr>
          <w:ilvl w:val="0"/>
          <w:numId w:val="0"/>
        </w:numPr>
        <w:ind w:left="992"/>
        <w:rPr>
          <w:rFonts w:ascii="Times New Roman" w:hAnsi="Times New Roman" w:cs="Times New Roman"/>
        </w:rPr>
      </w:pPr>
      <w:bookmarkStart w:id="12" w:name="_Toc491427455"/>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Дейности , допустими за финансиране:</w:t>
      </w:r>
      <w:bookmarkEnd w:id="12"/>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numPr>
                <w:ilvl w:val="0"/>
                <w:numId w:val="16"/>
              </w:numPr>
              <w:tabs>
                <w:tab w:val="left" w:pos="510"/>
              </w:tabs>
              <w:spacing w:line="276" w:lineRule="auto"/>
              <w:ind w:left="150" w:firstLine="0"/>
              <w:jc w:val="both"/>
              <w:rPr>
                <w:rFonts w:ascii="Times New Roman" w:hAnsi="Times New Roman"/>
                <w:sz w:val="24"/>
                <w:szCs w:val="24"/>
              </w:rPr>
            </w:pPr>
            <w:r>
              <w:rPr>
                <w:rFonts w:ascii="Times New Roman" w:hAnsi="Times New Roman"/>
                <w:sz w:val="24"/>
                <w:szCs w:val="24"/>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B33B36" w:rsidRDefault="00371D29">
            <w:pPr>
              <w:tabs>
                <w:tab w:val="left" w:pos="510"/>
              </w:tabs>
              <w:spacing w:line="276" w:lineRule="auto"/>
              <w:ind w:left="150"/>
              <w:jc w:val="both"/>
              <w:rPr>
                <w:rFonts w:ascii="Times New Roman" w:hAnsi="Times New Roman"/>
                <w:i/>
                <w:sz w:val="24"/>
                <w:szCs w:val="24"/>
              </w:rPr>
            </w:pPr>
            <w:r>
              <w:rPr>
                <w:rFonts w:ascii="Times New Roman" w:hAnsi="Times New Roman"/>
                <w:i/>
                <w:sz w:val="24"/>
                <w:szCs w:val="24"/>
              </w:rPr>
              <w:t>Дейностите са допустими за подпомагане ако са изградени или реконструирани ВиК системите или не се предвижда да се изграждат или реконструират ВиК системи за период от седем години от датата на кандидатстване. Дейностите за реконструкция и/или рехабилитация на съществуващи общински пътища, и съоръженията, и принадлежностите към тях са допустими за подпомагане ако са от указаните общински пътища в Решение № 236/13.04.2007 г. на МС за утвърждаване списък на общинските пътища и ако в техническата документация е предвидено изграждането и полагането на подземни мрежи за широколентов интернет.</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lang w:val="en-US"/>
              </w:rPr>
            </w:pPr>
            <w:r>
              <w:rPr>
                <w:rFonts w:ascii="Times New Roman" w:hAnsi="Times New Roman"/>
                <w:sz w:val="24"/>
                <w:szCs w:val="24"/>
              </w:rPr>
              <w:t>Изграждане, реконструкция и/или рехабилитация на водоснабдителни системи и съоръжения в агломерации с под 2 000 е.ж. в селските райони;</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lang w:val="en-US"/>
              </w:rPr>
            </w:pPr>
            <w:r>
              <w:rPr>
                <w:rFonts w:ascii="Times New Roman" w:hAnsi="Times New Roman"/>
                <w:sz w:val="24"/>
                <w:szCs w:val="24"/>
              </w:rPr>
              <w:t xml:space="preserve">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 </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lang w:val="en-US"/>
              </w:rPr>
            </w:pPr>
            <w:r>
              <w:rPr>
                <w:rFonts w:ascii="Times New Roman" w:hAnsi="Times New Roman"/>
                <w:sz w:val="24"/>
                <w:szCs w:val="24"/>
              </w:rPr>
              <w:t xml:space="preserve">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lang w:val="en-US"/>
              </w:rPr>
            </w:pPr>
            <w:r>
              <w:rPr>
                <w:rFonts w:ascii="Times New Roman" w:hAnsi="Times New Roman"/>
                <w:sz w:val="24"/>
                <w:szCs w:val="24"/>
              </w:rPr>
              <w:t xml:space="preserve">Изграждане, реконструкция, ремонт, оборудване и/или обзавеждане на социална инфраструктура за предоставяне на услуги, които не са част от процеса на </w:t>
            </w:r>
            <w:r>
              <w:rPr>
                <w:rFonts w:ascii="Times New Roman" w:hAnsi="Times New Roman"/>
                <w:sz w:val="24"/>
                <w:szCs w:val="24"/>
              </w:rPr>
              <w:lastRenderedPageBreak/>
              <w:t xml:space="preserve">деинституционализация на деца или възрастни, включително транспортни средства; </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lang w:val="en-US"/>
              </w:rPr>
            </w:pPr>
            <w:r>
              <w:rPr>
                <w:rFonts w:ascii="Times New Roman" w:hAnsi="Times New Roman"/>
                <w:sz w:val="24"/>
                <w:szCs w:val="24"/>
              </w:rPr>
              <w:t xml:space="preserve">Реконструкция и/или ремонт на общински сгради, в които се предоставят обществени услуги, с цел подобряване на тяхната енергийна ефективност; </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lang w:val="en-US"/>
              </w:rPr>
            </w:pPr>
            <w:r>
              <w:rPr>
                <w:rFonts w:ascii="Times New Roman" w:hAnsi="Times New Roman"/>
                <w:sz w:val="24"/>
                <w:szCs w:val="24"/>
              </w:rPr>
              <w:t xml:space="preserve">Изграждане, реконструкция, ремонт, оборудване и/или обзавеждане на спортна инфраструктура; </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lang w:val="en-US"/>
              </w:rPr>
            </w:pPr>
            <w:r>
              <w:rPr>
                <w:rFonts w:ascii="Times New Roman" w:hAnsi="Times New Roman"/>
                <w:sz w:val="24"/>
                <w:szCs w:val="24"/>
              </w:rPr>
              <w:t xml:space="preserve">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 </w:t>
            </w:r>
          </w:p>
          <w:p w:rsidR="00B33B36" w:rsidRDefault="00371D29">
            <w:pPr>
              <w:numPr>
                <w:ilvl w:val="0"/>
                <w:numId w:val="16"/>
              </w:numPr>
              <w:tabs>
                <w:tab w:val="left" w:pos="510"/>
              </w:tabs>
              <w:spacing w:line="276" w:lineRule="auto"/>
              <w:ind w:left="150" w:firstLine="0"/>
              <w:jc w:val="both"/>
              <w:rPr>
                <w:rFonts w:ascii="Times New Roman" w:hAnsi="Times New Roman"/>
                <w:sz w:val="24"/>
                <w:szCs w:val="24"/>
              </w:rPr>
            </w:pPr>
            <w:r>
              <w:rPr>
                <w:rFonts w:ascii="Times New Roman" w:hAnsi="Times New Roman"/>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rsidR="00B33B36" w:rsidRDefault="00B33B36">
            <w:pPr>
              <w:pStyle w:val="ListParagraph"/>
              <w:tabs>
                <w:tab w:val="left" w:pos="510"/>
              </w:tabs>
              <w:ind w:left="150"/>
              <w:jc w:val="both"/>
              <w:rPr>
                <w:rFonts w:ascii="Times New Roman" w:hAnsi="Times New Roman" w:cs="Times New Roman"/>
                <w:sz w:val="24"/>
                <w:szCs w:val="24"/>
                <w:highlight w:val="yellow"/>
              </w:rPr>
            </w:pPr>
          </w:p>
        </w:tc>
      </w:tr>
    </w:tbl>
    <w:p w:rsidR="00B33B36" w:rsidRDefault="00B33B36" w:rsidP="00B564A7">
      <w:pPr>
        <w:pStyle w:val="Heading1"/>
        <w:numPr>
          <w:ilvl w:val="0"/>
          <w:numId w:val="0"/>
        </w:numPr>
        <w:rPr>
          <w:rFonts w:ascii="Times New Roman" w:hAnsi="Times New Roman" w:cs="Times New Roman"/>
        </w:rPr>
      </w:pPr>
      <w:bookmarkStart w:id="13" w:name="_Toc491427456"/>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Категории разходи, допустими за финансиране</w:t>
      </w:r>
      <w:r>
        <w:rPr>
          <w:rFonts w:ascii="Times New Roman" w:hAnsi="Times New Roman" w:cs="Times New Roman"/>
          <w:color w:val="auto"/>
          <w:vertAlign w:val="superscript"/>
        </w:rPr>
        <w:footnoteReference w:id="1"/>
      </w:r>
      <w:bookmarkEnd w:id="13"/>
      <w:r>
        <w:rPr>
          <w:rFonts w:ascii="Times New Roman" w:hAnsi="Times New Roman" w:cs="Times New Roman"/>
          <w:color w:val="auto"/>
        </w:rPr>
        <w:t>:</w:t>
      </w:r>
    </w:p>
    <w:tbl>
      <w:tblPr>
        <w:tblStyle w:val="TableGrid"/>
        <w:tblW w:w="0" w:type="auto"/>
        <w:tblLook w:val="04A0" w:firstRow="1" w:lastRow="0" w:firstColumn="1" w:lastColumn="0" w:noHBand="0" w:noVBand="1"/>
      </w:tblPr>
      <w:tblGrid>
        <w:gridCol w:w="9770"/>
      </w:tblGrid>
      <w:tr w:rsidR="00B33B36" w:rsidTr="008522CE">
        <w:trPr>
          <w:trHeight w:val="4290"/>
        </w:trPr>
        <w:tc>
          <w:tcPr>
            <w:tcW w:w="9770" w:type="dxa"/>
          </w:tcPr>
          <w:p w:rsidR="00B33B36" w:rsidRPr="005B56E6" w:rsidRDefault="00371D29">
            <w:pPr>
              <w:spacing w:line="276" w:lineRule="auto"/>
              <w:jc w:val="both"/>
              <w:rPr>
                <w:rFonts w:ascii="Times New Roman" w:hAnsi="Times New Roman"/>
                <w:sz w:val="24"/>
                <w:szCs w:val="24"/>
                <w:lang w:val="en-US"/>
              </w:rPr>
            </w:pPr>
            <w:r w:rsidRPr="005B56E6">
              <w:rPr>
                <w:rFonts w:ascii="Times New Roman" w:hAnsi="Times New Roman"/>
                <w:sz w:val="24"/>
                <w:szCs w:val="24"/>
              </w:rPr>
              <w:t xml:space="preserve">а) Изграждането, включително отпускането на лизинг, или подобренията на недвижимо имущество; </w:t>
            </w:r>
          </w:p>
          <w:p w:rsidR="00B33B36" w:rsidRPr="005B56E6" w:rsidRDefault="00371D29">
            <w:pPr>
              <w:spacing w:line="276" w:lineRule="auto"/>
              <w:jc w:val="both"/>
              <w:rPr>
                <w:rFonts w:ascii="Times New Roman" w:hAnsi="Times New Roman"/>
                <w:sz w:val="24"/>
                <w:szCs w:val="24"/>
                <w:lang w:val="en-US"/>
              </w:rPr>
            </w:pPr>
            <w:r w:rsidRPr="005B56E6">
              <w:rPr>
                <w:rFonts w:ascii="Times New Roman" w:hAnsi="Times New Roman"/>
                <w:sz w:val="24"/>
                <w:szCs w:val="24"/>
              </w:rPr>
              <w:t xml:space="preserve">б) Закупуването или вземането на лизинг на нови машини и оборудване, обзавеждане до пазарната цена на актива; </w:t>
            </w:r>
          </w:p>
          <w:p w:rsidR="00B33B36" w:rsidRPr="005B56E6" w:rsidRDefault="00371D29">
            <w:pPr>
              <w:spacing w:line="276" w:lineRule="auto"/>
              <w:jc w:val="both"/>
              <w:rPr>
                <w:rFonts w:ascii="Times New Roman" w:hAnsi="Times New Roman"/>
                <w:sz w:val="24"/>
                <w:szCs w:val="24"/>
                <w:lang w:val="en-US"/>
              </w:rPr>
            </w:pPr>
            <w:r w:rsidRPr="005B56E6">
              <w:rPr>
                <w:rFonts w:ascii="Times New Roman" w:hAnsi="Times New Roman"/>
                <w:sz w:val="24"/>
                <w:szCs w:val="24"/>
              </w:rPr>
              <w:t xml:space="preserve">в)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w:t>
            </w:r>
          </w:p>
          <w:p w:rsidR="00B33B36" w:rsidRPr="005B56E6" w:rsidRDefault="00371D29">
            <w:pPr>
              <w:spacing w:line="276" w:lineRule="auto"/>
              <w:jc w:val="both"/>
              <w:rPr>
                <w:rFonts w:ascii="Times New Roman" w:hAnsi="Times New Roman"/>
                <w:sz w:val="24"/>
                <w:szCs w:val="24"/>
                <w:lang w:val="en-GB"/>
              </w:rPr>
            </w:pPr>
            <w:r w:rsidRPr="005B56E6">
              <w:rPr>
                <w:rFonts w:ascii="Times New Roman" w:hAnsi="Times New Roman"/>
                <w:sz w:val="24"/>
                <w:szCs w:val="24"/>
              </w:rPr>
              <w:t>г) Нематериални инвестиции: придобиването или развитието на компютърен софтуер и придобиването на патенти, лицензи, авторски права, търговски марки. Разходите по т. „в“ не трябва да надхвърлят 12% от сумата на разходите по т. „а“, „б“ и „г“. Оперативните разходи, свързани с предоставянето на услугите са недопустими за подпомагане по подмярката. Разходи различни от посочените в т. „б“, свързани с договора за лизинг, например марж на лизингодателя, разходи за рефинансиране на лихви, административни разходи и разходи за застраховка са недопустими за подпомагане по подмярката.</w:t>
            </w:r>
          </w:p>
          <w:p w:rsidR="008522CE" w:rsidRPr="00B564A7" w:rsidRDefault="005B56E6" w:rsidP="00B564A7">
            <w:pPr>
              <w:tabs>
                <w:tab w:val="left" w:pos="277"/>
                <w:tab w:val="left" w:pos="576"/>
              </w:tabs>
              <w:spacing w:line="276" w:lineRule="auto"/>
              <w:contextualSpacing/>
              <w:jc w:val="both"/>
              <w:rPr>
                <w:rFonts w:ascii="Times New Roman" w:hAnsi="Times New Roman" w:cs="Times New Roman"/>
                <w:sz w:val="24"/>
                <w:szCs w:val="24"/>
              </w:rPr>
            </w:pPr>
            <w:r w:rsidRPr="005B56E6">
              <w:rPr>
                <w:rFonts w:ascii="Times New Roman" w:hAnsi="Times New Roman"/>
                <w:b/>
                <w:i/>
                <w:sz w:val="24"/>
                <w:szCs w:val="24"/>
                <w:u w:val="single"/>
              </w:rPr>
              <w:t>Забележка:</w:t>
            </w:r>
            <w:r>
              <w:rPr>
                <w:rFonts w:ascii="Times New Roman" w:hAnsi="Times New Roman"/>
                <w:sz w:val="24"/>
                <w:szCs w:val="24"/>
              </w:rPr>
              <w:t xml:space="preserve"> </w:t>
            </w:r>
            <w:r w:rsidRPr="005B56E6">
              <w:rPr>
                <w:rFonts w:ascii="Times New Roman" w:hAnsi="Times New Roman" w:cs="Times New Roman"/>
                <w:sz w:val="24"/>
                <w:szCs w:val="24"/>
              </w:rPr>
              <w:t>разработването на бизнес план, включващ предпроектни изследвания и маркетингови стратегии  или попълване на анализ разходи – 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не следва да надхвърлят 5 % от общия размер на допустимите инвестиционни разходи по проекта.</w:t>
            </w:r>
          </w:p>
          <w:p w:rsidR="008522CE" w:rsidRPr="005B56E6" w:rsidRDefault="008522CE">
            <w:pPr>
              <w:spacing w:line="276" w:lineRule="auto"/>
              <w:jc w:val="both"/>
              <w:rPr>
                <w:rFonts w:ascii="Times New Roman" w:hAnsi="Times New Roman"/>
                <w:sz w:val="24"/>
                <w:szCs w:val="24"/>
              </w:rPr>
            </w:pPr>
          </w:p>
        </w:tc>
      </w:tr>
    </w:tbl>
    <w:p w:rsidR="00B33B36" w:rsidRDefault="00031B5A" w:rsidP="00031B5A">
      <w:pPr>
        <w:pStyle w:val="Heading1"/>
        <w:numPr>
          <w:ilvl w:val="0"/>
          <w:numId w:val="0"/>
        </w:numPr>
        <w:ind w:firstLine="708"/>
        <w:rPr>
          <w:rFonts w:ascii="Times New Roman" w:hAnsi="Times New Roman" w:cs="Times New Roman"/>
          <w:color w:val="auto"/>
        </w:rPr>
      </w:pPr>
      <w:bookmarkStart w:id="14" w:name="_Toc491427457"/>
      <w:r w:rsidRPr="00031B5A">
        <w:rPr>
          <w:rFonts w:ascii="Times New Roman" w:hAnsi="Times New Roman" w:cs="Times New Roman"/>
          <w:color w:val="auto"/>
        </w:rPr>
        <w:t>14.1. Недопустими разходи</w:t>
      </w:r>
    </w:p>
    <w:p w:rsidR="00703BFF" w:rsidRPr="00703BFF" w:rsidRDefault="00D47A0E" w:rsidP="00703BFF">
      <w:pPr>
        <w:spacing w:line="276" w:lineRule="auto"/>
        <w:ind w:firstLine="708"/>
        <w:jc w:val="both"/>
        <w:rPr>
          <w:b/>
          <w:i/>
          <w:sz w:val="24"/>
          <w:szCs w:val="24"/>
        </w:rPr>
      </w:pPr>
      <w:r w:rsidRPr="00703BFF">
        <w:rPr>
          <w:b/>
          <w:i/>
          <w:sz w:val="24"/>
          <w:szCs w:val="24"/>
        </w:rPr>
        <w:t xml:space="preserve">Недопустими разходи са разходите съгл. чл. 21 от Наредба № 22 от 14 декември 2015г. за прилагане на подмярка 19.2: </w:t>
      </w:r>
    </w:p>
    <w:p w:rsidR="00703BFF" w:rsidRDefault="00D47A0E" w:rsidP="00703BFF">
      <w:pPr>
        <w:spacing w:line="276" w:lineRule="auto"/>
        <w:ind w:firstLine="708"/>
        <w:jc w:val="both"/>
        <w:rPr>
          <w:sz w:val="24"/>
          <w:szCs w:val="24"/>
        </w:rPr>
      </w:pPr>
      <w:r w:rsidRPr="008B6C47">
        <w:rPr>
          <w:sz w:val="24"/>
          <w:szCs w:val="24"/>
        </w:rPr>
        <w:t xml:space="preserve">1. определени като недопустими в ПМС № 189 от 2016 г.; </w:t>
      </w:r>
    </w:p>
    <w:p w:rsidR="00703BFF" w:rsidRDefault="00D47A0E" w:rsidP="00703BFF">
      <w:pPr>
        <w:spacing w:line="276" w:lineRule="auto"/>
        <w:ind w:firstLine="708"/>
        <w:jc w:val="both"/>
        <w:rPr>
          <w:sz w:val="24"/>
          <w:szCs w:val="24"/>
        </w:rPr>
      </w:pPr>
      <w:r w:rsidRPr="008B6C47">
        <w:rPr>
          <w:sz w:val="24"/>
          <w:szCs w:val="24"/>
        </w:rPr>
        <w:t xml:space="preserve">2. за инвестиция или дейност, получила финансиране от друг ЕСИФ; </w:t>
      </w:r>
    </w:p>
    <w:p w:rsidR="00703BFF" w:rsidRDefault="00D47A0E" w:rsidP="00703BFF">
      <w:pPr>
        <w:spacing w:line="276" w:lineRule="auto"/>
        <w:ind w:firstLine="708"/>
        <w:jc w:val="both"/>
        <w:rPr>
          <w:sz w:val="24"/>
          <w:szCs w:val="24"/>
        </w:rPr>
      </w:pPr>
      <w:r w:rsidRPr="008B6C47">
        <w:rPr>
          <w:sz w:val="24"/>
          <w:szCs w:val="24"/>
        </w:rPr>
        <w:lastRenderedPageBreak/>
        <w:t xml:space="preserve">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w:t>
      </w:r>
    </w:p>
    <w:p w:rsidR="00D47A0E" w:rsidRPr="008B6C47" w:rsidRDefault="00D47A0E" w:rsidP="00703BFF">
      <w:pPr>
        <w:spacing w:line="276" w:lineRule="auto"/>
        <w:ind w:firstLine="708"/>
        <w:jc w:val="both"/>
        <w:rPr>
          <w:sz w:val="24"/>
          <w:szCs w:val="24"/>
        </w:rPr>
      </w:pPr>
      <w:r w:rsidRPr="008B6C47">
        <w:rPr>
          <w:sz w:val="24"/>
          <w:szCs w:val="24"/>
        </w:rPr>
        <w:t xml:space="preserve">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 </w:t>
      </w:r>
    </w:p>
    <w:p w:rsidR="00D47A0E" w:rsidRPr="00703BFF" w:rsidRDefault="00D47A0E" w:rsidP="00D47A0E">
      <w:pPr>
        <w:spacing w:line="276" w:lineRule="auto"/>
        <w:jc w:val="both"/>
        <w:rPr>
          <w:b/>
          <w:i/>
          <w:sz w:val="24"/>
          <w:szCs w:val="24"/>
        </w:rPr>
      </w:pPr>
      <w:r w:rsidRPr="008B6C47">
        <w:rPr>
          <w:sz w:val="24"/>
          <w:szCs w:val="24"/>
        </w:rPr>
        <w:t xml:space="preserve">        </w:t>
      </w:r>
      <w:r w:rsidRPr="00703BFF">
        <w:rPr>
          <w:b/>
          <w:i/>
          <w:sz w:val="24"/>
          <w:szCs w:val="24"/>
        </w:rPr>
        <w:t xml:space="preserve">От стратегията за ВОМР не са допустими за финансиране от ЕЗФРСР и разходи: </w:t>
      </w:r>
    </w:p>
    <w:p w:rsidR="00D47A0E" w:rsidRPr="000D2177" w:rsidRDefault="00D47A0E" w:rsidP="00D47A0E">
      <w:pPr>
        <w:spacing w:line="276" w:lineRule="auto"/>
        <w:jc w:val="both"/>
        <w:rPr>
          <w:sz w:val="24"/>
          <w:szCs w:val="24"/>
        </w:rPr>
      </w:pPr>
      <w:r w:rsidRPr="000D2177">
        <w:rPr>
          <w:sz w:val="24"/>
          <w:szCs w:val="24"/>
        </w:rPr>
        <w:t>-</w:t>
      </w:r>
      <w:r w:rsidRPr="008B6C47">
        <w:rPr>
          <w:sz w:val="24"/>
          <w:szCs w:val="24"/>
        </w:rPr>
        <w:t>за лихви по дългове;  за закупуването на незастроени и застроени земи на стойност над 10 на сто от общите допустими разходи за съответната операция; за данък върху добавената стойност освен невъзстановимия; за обикновена подмяна и поддръжка; за лихви и комисиони, печалба на лизинговата компания, разходи по лихви за рефинансиране, оперативни и застрахователни разходи по лизингов договор;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за режийни разходи; за застраховки; за закупуване на оборудване втора употреба; извършени преди 1 януари 2014 г.; за принос в натура;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за инвестиция, за която е установено, че ще оказва отрицателно въздействие върху околната среда;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за строително-монтажни работи и за създаване на трайни насаждения, извършени преди посещение на място от МИГ; заявени за финансиране, когато надвишават определените по реда на чл. 22, ал. 4 от Наредба 22 референтни разходи.</w:t>
      </w:r>
    </w:p>
    <w:p w:rsidR="00031B5A" w:rsidRPr="00031B5A" w:rsidRDefault="00031B5A" w:rsidP="00031B5A"/>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Допустими целеви групи (ако е приложимо):</w:t>
      </w:r>
      <w:bookmarkEnd w:id="14"/>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pStyle w:val="ListParagraph"/>
              <w:ind w:left="382"/>
              <w:rPr>
                <w:rFonts w:ascii="Times New Roman" w:hAnsi="Times New Roman" w:cs="Times New Roman"/>
                <w:sz w:val="24"/>
                <w:szCs w:val="24"/>
              </w:rPr>
            </w:pPr>
            <w:r>
              <w:rPr>
                <w:rFonts w:ascii="Times New Roman" w:hAnsi="Times New Roman" w:cs="Times New Roman"/>
                <w:sz w:val="24"/>
                <w:szCs w:val="24"/>
              </w:rPr>
              <w:t>Неприложимо</w:t>
            </w:r>
          </w:p>
        </w:tc>
      </w:tr>
    </w:tbl>
    <w:p w:rsidR="00B33B36" w:rsidRDefault="00B33B36">
      <w:pPr>
        <w:pStyle w:val="Heading1"/>
        <w:numPr>
          <w:ilvl w:val="0"/>
          <w:numId w:val="0"/>
        </w:numPr>
        <w:ind w:left="992"/>
        <w:rPr>
          <w:rFonts w:ascii="Times New Roman" w:hAnsi="Times New Roman" w:cs="Times New Roman"/>
        </w:rPr>
      </w:pPr>
      <w:bookmarkStart w:id="15" w:name="_Toc491427458"/>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Приложим режим на минимални/държавни помощи</w:t>
      </w:r>
      <w:bookmarkEnd w:id="15"/>
    </w:p>
    <w:tbl>
      <w:tblPr>
        <w:tblStyle w:val="TableGrid"/>
        <w:tblW w:w="0" w:type="auto"/>
        <w:tblLook w:val="04A0" w:firstRow="1" w:lastRow="0" w:firstColumn="1" w:lastColumn="0" w:noHBand="0" w:noVBand="1"/>
      </w:tblPr>
      <w:tblGrid>
        <w:gridCol w:w="9770"/>
      </w:tblGrid>
      <w:tr w:rsidR="00B33B36">
        <w:tc>
          <w:tcPr>
            <w:tcW w:w="9770" w:type="dxa"/>
            <w:tcBorders>
              <w:bottom w:val="single" w:sz="4" w:space="0" w:color="auto"/>
            </w:tcBorders>
          </w:tcPr>
          <w:p w:rsidR="00B33B36" w:rsidRDefault="00371D29">
            <w:pPr>
              <w:tabs>
                <w:tab w:val="left" w:pos="851"/>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Финансовото подпомагане за:</w:t>
            </w:r>
          </w:p>
          <w:p w:rsidR="00B33B36" w:rsidRDefault="00371D29">
            <w:pPr>
              <w:tabs>
                <w:tab w:val="left" w:pos="851"/>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строителство, реконструкция и/или рехабилитация на нови и съществуващи общински пътища, улици, тротоари и съоръженията и принадлежностите към тях; </w:t>
            </w:r>
          </w:p>
          <w:p w:rsidR="00B33B36" w:rsidRDefault="00371D29">
            <w:pPr>
              <w:tabs>
                <w:tab w:val="left" w:pos="851"/>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w:t>
            </w:r>
          </w:p>
          <w:p w:rsidR="00B33B36" w:rsidRDefault="00371D29">
            <w:pPr>
              <w:tabs>
                <w:tab w:val="left" w:pos="851"/>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реконструкция, ремонт, оборудване и/или обзавеждане на общинска образователна инфраструктура с местно значение в селските райони; </w:t>
            </w:r>
          </w:p>
          <w:p w:rsidR="00B33B36" w:rsidRDefault="00371D29">
            <w:pPr>
              <w:tabs>
                <w:tab w:val="left" w:pos="851"/>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реконструкция и/или ремонт на общински сгради, в които се предоставят обществени услуги, с цел подобряване на тяхната енергийна ефективност, </w:t>
            </w:r>
          </w:p>
          <w:p w:rsidR="00B33B36" w:rsidRDefault="00371D29">
            <w:pPr>
              <w:tabs>
                <w:tab w:val="left" w:pos="851"/>
              </w:tabs>
              <w:spacing w:line="276" w:lineRule="auto"/>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няма да представлява „държавна помощ“ по смисъла на чл. 107, параграф 1 от ДФЕС.</w:t>
            </w:r>
          </w:p>
          <w:p w:rsidR="00B33B36" w:rsidRDefault="00371D29">
            <w:pPr>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Общината не може да предоставя под наем сградите и обектите, за които ще бъде предоставена финансова помощ за този вид дейност. В противен случай общината ще </w:t>
            </w:r>
            <w:r>
              <w:rPr>
                <w:rFonts w:ascii="Times New Roman" w:eastAsia="Calibri" w:hAnsi="Times New Roman" w:cs="Times New Roman"/>
                <w:sz w:val="24"/>
                <w:szCs w:val="24"/>
                <w:lang w:eastAsia="en-US"/>
              </w:rPr>
              <w:lastRenderedPageBreak/>
              <w:t xml:space="preserve">изпълнява икономическа дейност и съответно ще представлява предприятие по смисъла чл. 107 от ДФЕС. </w:t>
            </w:r>
          </w:p>
          <w:p w:rsidR="00B33B36" w:rsidRDefault="00B33B36">
            <w:pPr>
              <w:spacing w:line="276" w:lineRule="auto"/>
              <w:ind w:firstLine="567"/>
              <w:contextualSpacing/>
              <w:jc w:val="both"/>
              <w:rPr>
                <w:rFonts w:ascii="Times New Roman" w:eastAsia="Calibri" w:hAnsi="Times New Roman" w:cs="Times New Roman"/>
                <w:sz w:val="24"/>
                <w:szCs w:val="24"/>
                <w:lang w:eastAsia="en-US"/>
              </w:rPr>
            </w:pPr>
          </w:p>
          <w:p w:rsidR="00B33B36" w:rsidRDefault="00371D29" w:rsidP="008522CE">
            <w:pPr>
              <w:spacing w:line="276"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Относно дейности</w:t>
            </w:r>
            <w:r w:rsidR="008522CE">
              <w:rPr>
                <w:rFonts w:ascii="Times New Roman" w:eastAsia="Calibri" w:hAnsi="Times New Roman" w:cs="Times New Roman"/>
                <w:sz w:val="24"/>
                <w:szCs w:val="24"/>
                <w:lang w:eastAsia="en-US"/>
              </w:rPr>
              <w:t>те за</w:t>
            </w:r>
            <w:r>
              <w:rPr>
                <w:rFonts w:ascii="Times New Roman" w:eastAsia="Calibri" w:hAnsi="Times New Roman" w:cs="Times New Roman"/>
                <w:sz w:val="24"/>
                <w:szCs w:val="24"/>
                <w:lang w:eastAsia="en-US"/>
              </w:rPr>
              <w:t>:</w:t>
            </w:r>
          </w:p>
          <w:p w:rsidR="00B33B36" w:rsidRPr="008522CE" w:rsidRDefault="008522CE" w:rsidP="008522CE">
            <w:pPr>
              <w:pStyle w:val="ListParagraph"/>
              <w:numPr>
                <w:ilvl w:val="0"/>
                <w:numId w:val="20"/>
              </w:numPr>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00371D29" w:rsidRPr="008522CE">
              <w:rPr>
                <w:rFonts w:ascii="Times New Roman" w:eastAsia="Calibri" w:hAnsi="Times New Roman" w:cs="Times New Roman"/>
                <w:sz w:val="24"/>
                <w:szCs w:val="24"/>
                <w:lang w:eastAsia="en-US"/>
              </w:rPr>
              <w:t xml:space="preserve">зграждане, реконструкция и/или рехабилитация на водоснабдителни системи и съоръжения в агломерации с под 2000 е.ж. В селските райони и </w:t>
            </w:r>
          </w:p>
          <w:p w:rsidR="00B33B36" w:rsidRPr="008522CE" w:rsidRDefault="008522CE" w:rsidP="008522CE">
            <w:pPr>
              <w:pStyle w:val="ListParagraph"/>
              <w:numPr>
                <w:ilvl w:val="0"/>
                <w:numId w:val="20"/>
              </w:numPr>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00371D29" w:rsidRPr="008522CE">
              <w:rPr>
                <w:rFonts w:ascii="Times New Roman" w:eastAsia="Calibri" w:hAnsi="Times New Roman" w:cs="Times New Roman"/>
                <w:sz w:val="24"/>
                <w:szCs w:val="24"/>
                <w:lang w:eastAsia="en-US"/>
              </w:rPr>
              <w:t xml:space="preserve">нвестиции за доизграждане, без ново строителство на канализационна мрежа (в т.ч. </w:t>
            </w:r>
            <w:r>
              <w:rPr>
                <w:rFonts w:ascii="Times New Roman" w:eastAsia="Calibri" w:hAnsi="Times New Roman" w:cs="Times New Roman"/>
                <w:sz w:val="24"/>
                <w:szCs w:val="24"/>
                <w:lang w:eastAsia="en-US"/>
              </w:rPr>
              <w:t>и</w:t>
            </w:r>
            <w:r w:rsidR="00371D29" w:rsidRPr="008522CE">
              <w:rPr>
                <w:rFonts w:ascii="Times New Roman" w:eastAsia="Calibri" w:hAnsi="Times New Roman" w:cs="Times New Roman"/>
                <w:sz w:val="24"/>
                <w:szCs w:val="24"/>
                <w:lang w:eastAsia="en-US"/>
              </w:rPr>
              <w:t xml:space="preserve"> съоръжения за пречистване на отпадъчни води) в агломерации с под 2000 е.ж. В селските райони</w:t>
            </w:r>
            <w:r>
              <w:rPr>
                <w:rFonts w:ascii="Times New Roman" w:eastAsia="Calibri" w:hAnsi="Times New Roman" w:cs="Times New Roman"/>
                <w:sz w:val="24"/>
                <w:szCs w:val="24"/>
                <w:lang w:eastAsia="en-US"/>
              </w:rPr>
              <w:t>,</w:t>
            </w:r>
            <w:r w:rsidR="00371D29" w:rsidRPr="008522CE">
              <w:rPr>
                <w:rFonts w:ascii="Times New Roman" w:eastAsia="Calibri" w:hAnsi="Times New Roman" w:cs="Times New Roman"/>
                <w:sz w:val="24"/>
                <w:szCs w:val="24"/>
                <w:lang w:eastAsia="en-US"/>
              </w:rPr>
              <w:t xml:space="preserve"> </w:t>
            </w:r>
          </w:p>
          <w:p w:rsidR="00B33B36" w:rsidRDefault="008522CE" w:rsidP="0006706F">
            <w:pPr>
              <w:spacing w:line="276"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щ</w:t>
            </w:r>
            <w:r w:rsidR="00371D29">
              <w:rPr>
                <w:rFonts w:ascii="Times New Roman" w:eastAsia="Calibri" w:hAnsi="Times New Roman" w:cs="Times New Roman"/>
                <w:sz w:val="24"/>
                <w:szCs w:val="24"/>
                <w:lang w:eastAsia="en-US"/>
              </w:rPr>
              <w:t xml:space="preserve">е се прилага режим </w:t>
            </w:r>
            <w:r>
              <w:rPr>
                <w:rFonts w:ascii="Times New Roman" w:eastAsia="Calibri" w:hAnsi="Times New Roman" w:cs="Times New Roman"/>
                <w:sz w:val="24"/>
                <w:szCs w:val="24"/>
                <w:lang w:eastAsia="en-US"/>
              </w:rPr>
              <w:t xml:space="preserve">на </w:t>
            </w:r>
            <w:r w:rsidR="00371D29">
              <w:rPr>
                <w:rFonts w:ascii="Times New Roman" w:eastAsia="Calibri" w:hAnsi="Times New Roman" w:cs="Times New Roman"/>
                <w:sz w:val="24"/>
                <w:szCs w:val="24"/>
                <w:lang w:eastAsia="en-US"/>
              </w:rPr>
              <w:t xml:space="preserve">непомощ. За този режим е подадена </w:t>
            </w:r>
            <w:r>
              <w:rPr>
                <w:rFonts w:ascii="Times New Roman" w:eastAsia="Calibri" w:hAnsi="Times New Roman" w:cs="Times New Roman"/>
                <w:sz w:val="24"/>
                <w:szCs w:val="24"/>
                <w:lang w:eastAsia="en-US"/>
              </w:rPr>
              <w:t>нотификация пред Европейската комисия SA 49742(2017/pn), чиято цел е доказване на това, че услуги</w:t>
            </w:r>
            <w:r w:rsidR="00371D29">
              <w:rPr>
                <w:rFonts w:ascii="Times New Roman" w:eastAsia="Calibri" w:hAnsi="Times New Roman" w:cs="Times New Roman"/>
                <w:sz w:val="24"/>
                <w:szCs w:val="24"/>
                <w:lang w:eastAsia="en-US"/>
              </w:rPr>
              <w:t>те във ВиК сектора попадат извън приложното поле на режима на държавните помощи. Изразеното от ЕК становище не е окончателно. При постъпване на информация от ЕК е възможна промяна в определения режим за държавни помощи.</w:t>
            </w:r>
          </w:p>
          <w:p w:rsidR="00B33B36" w:rsidRDefault="00371D29">
            <w:pPr>
              <w:tabs>
                <w:tab w:val="left" w:pos="851"/>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Финансовото подпомагане за:</w:t>
            </w:r>
          </w:p>
          <w:p w:rsidR="00B33B36" w:rsidRDefault="00371D29">
            <w:pPr>
              <w:tabs>
                <w:tab w:val="left" w:pos="851"/>
              </w:tabs>
              <w:spacing w:line="276"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B33B36" w:rsidRDefault="00371D29">
            <w:pPr>
              <w:spacing w:line="276"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 изграждане, реконструкция, ремонт, оборудване и/или обзавеждане на спортна инфраструктура;</w:t>
            </w:r>
          </w:p>
          <w:p w:rsidR="00B33B36" w:rsidRDefault="00371D29">
            <w:pPr>
              <w:spacing w:line="276"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B33B36" w:rsidRDefault="00371D29">
            <w:pPr>
              <w:spacing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може да бъде определено като „непомощ“ и „помощ“.</w:t>
            </w:r>
          </w:p>
          <w:p w:rsidR="00B33B36" w:rsidRDefault="00B33B36">
            <w:pPr>
              <w:spacing w:line="276" w:lineRule="auto"/>
              <w:ind w:firstLine="567"/>
              <w:contextualSpacing/>
              <w:jc w:val="both"/>
              <w:rPr>
                <w:rFonts w:ascii="Times New Roman" w:eastAsia="Calibri" w:hAnsi="Times New Roman" w:cs="Times New Roman"/>
                <w:sz w:val="24"/>
                <w:szCs w:val="24"/>
                <w:lang w:eastAsia="en-US"/>
              </w:rPr>
            </w:pPr>
          </w:p>
          <w:p w:rsidR="00B33B36" w:rsidRDefault="00371D29">
            <w:pPr>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Кандидатите следва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rsidR="00B33B36" w:rsidRDefault="00B33B36">
            <w:pPr>
              <w:spacing w:line="276" w:lineRule="auto"/>
              <w:ind w:firstLine="567"/>
              <w:jc w:val="both"/>
              <w:rPr>
                <w:rFonts w:ascii="Times New Roman" w:eastAsia="Calibri" w:hAnsi="Times New Roman" w:cs="Times New Roman"/>
                <w:sz w:val="24"/>
                <w:szCs w:val="24"/>
                <w:lang w:eastAsia="en-US"/>
              </w:rPr>
            </w:pPr>
          </w:p>
          <w:p w:rsidR="00B33B36" w:rsidRDefault="00371D29">
            <w:pPr>
              <w:spacing w:line="276"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случай на финансово подпомагане само за нестопански дейности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когато:</w:t>
            </w:r>
          </w:p>
          <w:p w:rsidR="00B33B36" w:rsidRDefault="00371D29">
            <w:pPr>
              <w:numPr>
                <w:ilvl w:val="0"/>
                <w:numId w:val="9"/>
              </w:numPr>
              <w:tabs>
                <w:tab w:val="left" w:pos="851"/>
              </w:tabs>
              <w:spacing w:line="276"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интервенциите са върху публични общински сгради от социалната или спортна инфраструктура, която е общинска собственост; </w:t>
            </w:r>
          </w:p>
          <w:p w:rsidR="00B33B36" w:rsidRDefault="00371D29">
            <w:pPr>
              <w:numPr>
                <w:ilvl w:val="0"/>
                <w:numId w:val="9"/>
              </w:numPr>
              <w:tabs>
                <w:tab w:val="left" w:pos="851"/>
              </w:tabs>
              <w:spacing w:line="276"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интервенциите са върху обекти, свързани с културния живот, които са общинска собственост, читалища музеи и библиотеки, архелогически обекти и др.;</w:t>
            </w:r>
          </w:p>
          <w:p w:rsidR="00B33B36" w:rsidRDefault="00371D29">
            <w:pPr>
              <w:numPr>
                <w:ilvl w:val="0"/>
                <w:numId w:val="9"/>
              </w:numPr>
              <w:tabs>
                <w:tab w:val="left" w:pos="851"/>
              </w:tabs>
              <w:spacing w:line="276"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социалната инфраструктура е за предоставяне на услуги с неикономически характер;</w:t>
            </w:r>
          </w:p>
          <w:p w:rsidR="00B33B36" w:rsidRDefault="00371D29">
            <w:pPr>
              <w:numPr>
                <w:ilvl w:val="0"/>
                <w:numId w:val="9"/>
              </w:numPr>
              <w:tabs>
                <w:tab w:val="left" w:pos="851"/>
              </w:tabs>
              <w:spacing w:line="276"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спорната инфраструктура е за услуги със свободен обществен достъп и с неикономически характер;</w:t>
            </w:r>
          </w:p>
          <w:p w:rsidR="00B33B36" w:rsidRDefault="00371D29">
            <w:pPr>
              <w:numPr>
                <w:ilvl w:val="0"/>
                <w:numId w:val="9"/>
              </w:numPr>
              <w:tabs>
                <w:tab w:val="left" w:pos="851"/>
                <w:tab w:val="left" w:pos="1050"/>
              </w:tabs>
              <w:spacing w:line="276"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дейностите в тези културни обекти са организирани по нетърговски начин и са от нестопанско естество,</w:t>
            </w:r>
          </w:p>
          <w:p w:rsidR="00B33B36" w:rsidRDefault="00371D29">
            <w:pPr>
              <w:spacing w:line="276" w:lineRule="auto"/>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финансовото подпомагане няма да представлява „държавна помощ“ по смисъла на чл. 107, параграф 1 от ДФЕС.</w:t>
            </w:r>
          </w:p>
          <w:p w:rsidR="00B33B36" w:rsidRDefault="00371D29">
            <w:pPr>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eastAsia="en-US"/>
              </w:rPr>
              <w:t xml:space="preserve">Финансовата помощ за дейностите по т. 2, когато бенефициентът действа като „предприятие“ и извършва икономически дейности, </w:t>
            </w:r>
            <w:r>
              <w:rPr>
                <w:rFonts w:ascii="Times New Roman" w:eastAsia="Calibri" w:hAnsi="Times New Roman" w:cs="Times New Roman"/>
                <w:b/>
                <w:sz w:val="24"/>
                <w:szCs w:val="24"/>
                <w:lang w:eastAsia="en-US"/>
              </w:rPr>
              <w:t xml:space="preserve">представлява „държавна помощ“ по смисъла на чл. 107, параграф 1 от ДФЕС. </w:t>
            </w:r>
            <w:r>
              <w:rPr>
                <w:rFonts w:ascii="Times New Roman" w:eastAsia="Calibri" w:hAnsi="Times New Roman" w:cs="Times New Roman"/>
                <w:sz w:val="24"/>
                <w:szCs w:val="24"/>
                <w:lang w:eastAsia="en-US"/>
              </w:rPr>
              <w:t xml:space="preserve">Режимът на държавни помощи включва </w:t>
            </w:r>
            <w:r>
              <w:rPr>
                <w:rFonts w:ascii="Times New Roman" w:eastAsia="Calibri" w:hAnsi="Times New Roman" w:cs="Times New Roman"/>
                <w:sz w:val="24"/>
                <w:szCs w:val="24"/>
                <w:lang w:eastAsia="en-US"/>
              </w:rPr>
              <w:lastRenderedPageBreak/>
              <w:t>условията за изпълнение на Регламент № 1407/2013 съгласно Приложение № 12 от настоящите условия.</w:t>
            </w:r>
          </w:p>
          <w:p w:rsidR="00B33B36" w:rsidRDefault="00371D29">
            <w:pPr>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val="en-GB" w:eastAsia="en-US"/>
              </w:rPr>
              <w:t xml:space="preserve">ейностите по </w:t>
            </w:r>
            <w:r>
              <w:rPr>
                <w:rFonts w:ascii="Times New Roman" w:eastAsia="Calibri" w:hAnsi="Times New Roman" w:cs="Times New Roman"/>
                <w:sz w:val="24"/>
                <w:szCs w:val="24"/>
                <w:lang w:eastAsia="en-US"/>
              </w:rPr>
              <w:t xml:space="preserve">т. 2, когато бенефициентът действа като „предприятие“ </w:t>
            </w:r>
            <w:r>
              <w:rPr>
                <w:rFonts w:ascii="Times New Roman" w:eastAsia="Calibri" w:hAnsi="Times New Roman" w:cs="Times New Roman"/>
                <w:sz w:val="24"/>
                <w:szCs w:val="24"/>
                <w:lang w:val="en-GB" w:eastAsia="en-US"/>
              </w:rPr>
              <w:t>влизат в обхвата на режим de minimis съгласно Регламент № 1407/2013 и при прилагането им следва да се спазват следните условия:</w:t>
            </w:r>
          </w:p>
          <w:p w:rsidR="00B33B36" w:rsidRDefault="00371D29">
            <w:pPr>
              <w:tabs>
                <w:tab w:val="left" w:pos="993"/>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w:t>
            </w:r>
            <w:r>
              <w:rPr>
                <w:rFonts w:ascii="Times New Roman" w:eastAsia="Calibri" w:hAnsi="Times New Roman" w:cs="Times New Roman"/>
                <w:sz w:val="24"/>
                <w:szCs w:val="24"/>
                <w:lang w:val="en-GB" w:eastAsia="en-US"/>
              </w:rPr>
              <w:tab/>
              <w:t>Дейностите, които попадат в обхвата на de minimis се представят на предприятията от всички сектори с изключение на тези посочени в чл. 1 на Регламент 1407/2013.</w:t>
            </w:r>
          </w:p>
          <w:p w:rsidR="00B33B36" w:rsidRDefault="00371D29">
            <w:pPr>
              <w:tabs>
                <w:tab w:val="left" w:pos="993"/>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2.</w:t>
            </w:r>
            <w:r>
              <w:rPr>
                <w:rFonts w:ascii="Times New Roman" w:eastAsia="Calibri" w:hAnsi="Times New Roman" w:cs="Times New Roman"/>
                <w:sz w:val="24"/>
                <w:szCs w:val="24"/>
                <w:lang w:val="en-GB" w:eastAsia="en-US"/>
              </w:rPr>
              <w:tab/>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5064D5">
              <w:rPr>
                <w:rFonts w:ascii="Times New Roman" w:eastAsia="Calibri" w:hAnsi="Times New Roman" w:cs="Times New Roman"/>
                <w:sz w:val="24"/>
                <w:szCs w:val="24"/>
                <w:lang w:eastAsia="en-US"/>
              </w:rPr>
              <w:t>автомобилни</w:t>
            </w:r>
            <w:r>
              <w:rPr>
                <w:rFonts w:ascii="Times New Roman" w:eastAsia="Calibri" w:hAnsi="Times New Roman" w:cs="Times New Roman"/>
                <w:sz w:val="24"/>
                <w:szCs w:val="24"/>
                <w:lang w:val="en-GB" w:eastAsia="en-US"/>
              </w:rPr>
              <w:t xml:space="preserve"> товарни превози за чужда сметка или срещу възнаграждение, за период от три </w:t>
            </w:r>
            <w:r w:rsidR="004C456A">
              <w:rPr>
                <w:rFonts w:ascii="Times New Roman" w:eastAsia="Calibri" w:hAnsi="Times New Roman" w:cs="Times New Roman"/>
                <w:sz w:val="24"/>
                <w:szCs w:val="24"/>
                <w:lang w:eastAsia="en-US"/>
              </w:rPr>
              <w:t>бюджетни</w:t>
            </w:r>
            <w:r>
              <w:rPr>
                <w:rFonts w:ascii="Times New Roman" w:eastAsia="Calibri" w:hAnsi="Times New Roman" w:cs="Times New Roman"/>
                <w:sz w:val="24"/>
                <w:szCs w:val="24"/>
                <w:lang w:val="en-GB" w:eastAsia="en-US"/>
              </w:rPr>
              <w:t xml:space="preserve"> години.</w:t>
            </w:r>
          </w:p>
          <w:p w:rsidR="00B33B36" w:rsidRDefault="00371D29">
            <w:pPr>
              <w:tabs>
                <w:tab w:val="left" w:pos="993"/>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3.</w:t>
            </w:r>
            <w:r>
              <w:rPr>
                <w:rFonts w:ascii="Times New Roman" w:eastAsia="Calibri" w:hAnsi="Times New Roman" w:cs="Times New Roman"/>
                <w:sz w:val="24"/>
                <w:szCs w:val="24"/>
                <w:lang w:val="en-GB" w:eastAsia="en-US"/>
              </w:rPr>
              <w:tab/>
              <w:t xml:space="preserve">Ако дадено предприятие изпълнява </w:t>
            </w:r>
            <w:r w:rsidR="005064D5">
              <w:rPr>
                <w:rFonts w:ascii="Times New Roman" w:eastAsia="Calibri" w:hAnsi="Times New Roman" w:cs="Times New Roman"/>
                <w:sz w:val="24"/>
                <w:szCs w:val="24"/>
                <w:lang w:eastAsia="en-US"/>
              </w:rPr>
              <w:t xml:space="preserve">автомобилни </w:t>
            </w:r>
            <w:r>
              <w:rPr>
                <w:rFonts w:ascii="Times New Roman" w:eastAsia="Calibri" w:hAnsi="Times New Roman" w:cs="Times New Roman"/>
                <w:sz w:val="24"/>
                <w:szCs w:val="24"/>
                <w:lang w:val="en-GB" w:eastAsia="en-US"/>
              </w:rPr>
              <w:t>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w:t>
            </w:r>
            <w:r w:rsidR="00845EFF">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EUR и че помощите de minimis не се използват за придобиване на товарни автомобили.</w:t>
            </w:r>
          </w:p>
          <w:p w:rsidR="00B33B36" w:rsidRPr="005861D8" w:rsidRDefault="00371D29">
            <w:pPr>
              <w:tabs>
                <w:tab w:val="left" w:pos="993"/>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GB" w:eastAsia="en-US"/>
              </w:rPr>
              <w:t>4.</w:t>
            </w:r>
            <w:r>
              <w:rPr>
                <w:rFonts w:ascii="Times New Roman" w:eastAsia="Calibri" w:hAnsi="Times New Roman" w:cs="Times New Roman"/>
                <w:sz w:val="24"/>
                <w:szCs w:val="24"/>
                <w:lang w:val="en-GB" w:eastAsia="en-US"/>
              </w:rPr>
              <w:tab/>
              <w:t>Помощта се смята за отпусната от момента на подписване на договор за пр</w:t>
            </w:r>
            <w:r w:rsidR="005861D8">
              <w:rPr>
                <w:rFonts w:ascii="Times New Roman" w:eastAsia="Calibri" w:hAnsi="Times New Roman" w:cs="Times New Roman"/>
                <w:sz w:val="24"/>
                <w:szCs w:val="24"/>
                <w:lang w:val="en-GB" w:eastAsia="en-US"/>
              </w:rPr>
              <w:t>едоставяне на финансова помощ</w:t>
            </w:r>
            <w:r w:rsidR="005861D8">
              <w:rPr>
                <w:rFonts w:ascii="Times New Roman" w:eastAsia="Calibri" w:hAnsi="Times New Roman" w:cs="Times New Roman"/>
                <w:sz w:val="24"/>
                <w:szCs w:val="24"/>
                <w:lang w:eastAsia="en-US"/>
              </w:rPr>
              <w:t xml:space="preserve">, независимо от датата на </w:t>
            </w:r>
            <w:r w:rsidR="000C3305">
              <w:rPr>
                <w:rFonts w:ascii="Times New Roman" w:eastAsia="Calibri" w:hAnsi="Times New Roman" w:cs="Times New Roman"/>
                <w:sz w:val="24"/>
                <w:szCs w:val="24"/>
                <w:lang w:eastAsia="en-US"/>
              </w:rPr>
              <w:t>реал</w:t>
            </w:r>
            <w:r w:rsidR="005861D8">
              <w:rPr>
                <w:rFonts w:ascii="Times New Roman" w:eastAsia="Calibri" w:hAnsi="Times New Roman" w:cs="Times New Roman"/>
                <w:sz w:val="24"/>
                <w:szCs w:val="24"/>
                <w:lang w:eastAsia="en-US"/>
              </w:rPr>
              <w:t xml:space="preserve">ното </w:t>
            </w:r>
            <w:r w:rsidR="000C3305">
              <w:rPr>
                <w:rFonts w:ascii="Times New Roman" w:eastAsia="Calibri" w:hAnsi="Times New Roman" w:cs="Times New Roman"/>
                <w:sz w:val="24"/>
                <w:szCs w:val="24"/>
                <w:lang w:eastAsia="en-US"/>
              </w:rPr>
              <w:t xml:space="preserve">й </w:t>
            </w:r>
            <w:r w:rsidR="005861D8">
              <w:rPr>
                <w:rFonts w:ascii="Times New Roman" w:eastAsia="Calibri" w:hAnsi="Times New Roman" w:cs="Times New Roman"/>
                <w:sz w:val="24"/>
                <w:szCs w:val="24"/>
                <w:lang w:eastAsia="en-US"/>
              </w:rPr>
              <w:t>изплащане.</w:t>
            </w:r>
          </w:p>
          <w:p w:rsidR="00B33B36" w:rsidRDefault="00371D29">
            <w:pPr>
              <w:tabs>
                <w:tab w:val="left" w:pos="993"/>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5.</w:t>
            </w:r>
            <w:r>
              <w:rPr>
                <w:rFonts w:ascii="Times New Roman" w:eastAsia="Calibri" w:hAnsi="Times New Roman" w:cs="Times New Roman"/>
                <w:sz w:val="24"/>
                <w:szCs w:val="24"/>
                <w:lang w:val="en-GB" w:eastAsia="en-US"/>
              </w:rPr>
              <w:tab/>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B33B36" w:rsidRDefault="00371D29">
            <w:pPr>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предприятието кандидат;</w:t>
            </w:r>
          </w:p>
          <w:p w:rsidR="00B33B36" w:rsidRDefault="00371D29">
            <w:pPr>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 </w:t>
            </w:r>
            <w:proofErr w:type="gramStart"/>
            <w:r>
              <w:rPr>
                <w:rFonts w:ascii="Times New Roman" w:eastAsia="Calibri" w:hAnsi="Times New Roman" w:cs="Times New Roman"/>
                <w:sz w:val="24"/>
                <w:szCs w:val="24"/>
                <w:lang w:val="en-GB" w:eastAsia="en-US"/>
              </w:rPr>
              <w:t>предприятията</w:t>
            </w:r>
            <w:proofErr w:type="gramEnd"/>
            <w:r>
              <w:rPr>
                <w:rFonts w:ascii="Times New Roman" w:eastAsia="Calibri" w:hAnsi="Times New Roman" w:cs="Times New Roman"/>
                <w:sz w:val="24"/>
                <w:szCs w:val="24"/>
                <w:lang w:val="en-GB" w:eastAsia="en-US"/>
              </w:rPr>
              <w:t>, с които предприятието кандидат образува „едно и също предприятие“   по смисъла на чл. 2, пар. 2 на Регламент (ЕС) № 1407/2013;</w:t>
            </w:r>
          </w:p>
          <w:p w:rsidR="00B33B36" w:rsidRDefault="00371D29">
            <w:pPr>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 </w:t>
            </w:r>
            <w:proofErr w:type="gramStart"/>
            <w:r>
              <w:rPr>
                <w:rFonts w:ascii="Times New Roman" w:eastAsia="Calibri" w:hAnsi="Times New Roman" w:cs="Times New Roman"/>
                <w:sz w:val="24"/>
                <w:szCs w:val="24"/>
                <w:lang w:val="en-GB" w:eastAsia="en-US"/>
              </w:rPr>
              <w:t>всички</w:t>
            </w:r>
            <w:proofErr w:type="gramEnd"/>
            <w:r>
              <w:rPr>
                <w:rFonts w:ascii="Times New Roman" w:eastAsia="Calibri" w:hAnsi="Times New Roman" w:cs="Times New Roman"/>
                <w:sz w:val="24"/>
                <w:szCs w:val="24"/>
                <w:lang w:val="en-GB" w:eastAsia="en-US"/>
              </w:rPr>
              <w:t xml:space="preserve">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B33B36" w:rsidRDefault="00371D29">
            <w:pPr>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 </w:t>
            </w:r>
            <w:proofErr w:type="gramStart"/>
            <w:r>
              <w:rPr>
                <w:rFonts w:ascii="Times New Roman" w:eastAsia="Calibri" w:hAnsi="Times New Roman" w:cs="Times New Roman"/>
                <w:sz w:val="24"/>
                <w:szCs w:val="24"/>
                <w:lang w:val="en-GB" w:eastAsia="en-US"/>
              </w:rPr>
              <w:t>предприятията</w:t>
            </w:r>
            <w:proofErr w:type="gramEnd"/>
            <w:r>
              <w:rPr>
                <w:rFonts w:ascii="Times New Roman" w:eastAsia="Calibri" w:hAnsi="Times New Roman" w:cs="Times New Roman"/>
                <w:sz w:val="24"/>
                <w:szCs w:val="24"/>
                <w:lang w:val="en-GB" w:eastAsia="en-US"/>
              </w:rPr>
              <w:t>,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6.</w:t>
            </w:r>
            <w:r>
              <w:rPr>
                <w:rFonts w:ascii="Times New Roman" w:eastAsia="Calibri" w:hAnsi="Times New Roman" w:cs="Times New Roman"/>
                <w:sz w:val="24"/>
                <w:szCs w:val="24"/>
                <w:lang w:val="en-GB" w:eastAsia="en-US"/>
              </w:rPr>
              <w:tab/>
              <w:t xml:space="preserve">Натрупването </w:t>
            </w:r>
            <w:r w:rsidR="002C1A83">
              <w:rPr>
                <w:rFonts w:ascii="Times New Roman" w:eastAsia="Calibri" w:hAnsi="Times New Roman" w:cs="Times New Roman"/>
                <w:sz w:val="24"/>
                <w:szCs w:val="24"/>
                <w:lang w:eastAsia="en-US"/>
              </w:rPr>
              <w:t xml:space="preserve">на минималните помощи, предоставени на територията на Република България </w:t>
            </w:r>
            <w:r>
              <w:rPr>
                <w:rFonts w:ascii="Times New Roman" w:eastAsia="Calibri" w:hAnsi="Times New Roman" w:cs="Times New Roman"/>
                <w:sz w:val="24"/>
                <w:szCs w:val="24"/>
                <w:lang w:val="en-GB" w:eastAsia="en-US"/>
              </w:rPr>
              <w:t>в рамките на едно и също предприятие е съгласно разпоредбите на чл. 5 на Регламент (ЕС) № 1407/2013:</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ab/>
              <w:t>Когато дадено предприятие извършва дейност в секторите посочени в параграф 1, букви а</w:t>
            </w:r>
            <w:proofErr w:type="gramStart"/>
            <w:r>
              <w:rPr>
                <w:rFonts w:ascii="Times New Roman" w:eastAsia="Calibri" w:hAnsi="Times New Roman" w:cs="Times New Roman"/>
                <w:sz w:val="24"/>
                <w:szCs w:val="24"/>
                <w:lang w:val="en-GB" w:eastAsia="en-US"/>
              </w:rPr>
              <w:t>,б</w:t>
            </w:r>
            <w:proofErr w:type="gramEnd"/>
            <w:r>
              <w:rPr>
                <w:rFonts w:ascii="Times New Roman" w:eastAsia="Calibri" w:hAnsi="Times New Roman" w:cs="Times New Roman"/>
                <w:sz w:val="24"/>
                <w:szCs w:val="24"/>
                <w:lang w:val="en-GB" w:eastAsia="en-US"/>
              </w:rPr>
              <w:t xml:space="preserve">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не се ползват от помощи de minimis, предоставени в съответствие с Регламент (ЕС) № 1407/2013.</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(ЕС) № 360/2012 на </w:t>
            </w:r>
            <w:r>
              <w:rPr>
                <w:rFonts w:ascii="Times New Roman" w:eastAsia="Calibri" w:hAnsi="Times New Roman" w:cs="Times New Roman"/>
                <w:sz w:val="24"/>
                <w:szCs w:val="24"/>
                <w:lang w:val="en-GB" w:eastAsia="en-US"/>
              </w:rPr>
              <w:lastRenderedPageBreak/>
              <w:t xml:space="preserve">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val="en-GB" w:eastAsia="en-US"/>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7.</w:t>
            </w:r>
            <w:r>
              <w:rPr>
                <w:rFonts w:ascii="Times New Roman" w:eastAsia="Calibri" w:hAnsi="Times New Roman" w:cs="Times New Roman"/>
                <w:sz w:val="24"/>
                <w:szCs w:val="24"/>
                <w:lang w:val="en-GB" w:eastAsia="en-US"/>
              </w:rPr>
              <w:tab/>
              <w:t>При определяне на максимално допустимият размер и съответно интензитет на помощта,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8.</w:t>
            </w:r>
            <w:r>
              <w:rPr>
                <w:rFonts w:ascii="Times New Roman" w:eastAsia="Calibri" w:hAnsi="Times New Roman" w:cs="Times New Roman"/>
                <w:sz w:val="24"/>
                <w:szCs w:val="24"/>
                <w:lang w:val="en-GB" w:eastAsia="en-US"/>
              </w:rPr>
              <w:tab/>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9.</w:t>
            </w:r>
            <w:r>
              <w:rPr>
                <w:rFonts w:ascii="Times New Roman" w:eastAsia="Calibri" w:hAnsi="Times New Roman" w:cs="Times New Roman"/>
                <w:sz w:val="24"/>
                <w:szCs w:val="24"/>
                <w:lang w:val="en-GB" w:eastAsia="en-US"/>
              </w:rPr>
              <w:tab/>
              <w:t xml:space="preserve">За изпълнението на обстоятелствата кандидатите посочват данните за получени минимални </w:t>
            </w:r>
            <w:r w:rsidR="000842F4">
              <w:rPr>
                <w:rFonts w:ascii="Times New Roman" w:eastAsia="Calibri" w:hAnsi="Times New Roman" w:cs="Times New Roman"/>
                <w:sz w:val="24"/>
                <w:szCs w:val="24"/>
                <w:lang w:eastAsia="en-US"/>
              </w:rPr>
              <w:t xml:space="preserve">и държавни </w:t>
            </w:r>
            <w:r>
              <w:rPr>
                <w:rFonts w:ascii="Times New Roman" w:eastAsia="Calibri" w:hAnsi="Times New Roman" w:cs="Times New Roman"/>
                <w:sz w:val="24"/>
                <w:szCs w:val="24"/>
                <w:lang w:val="en-GB" w:eastAsia="en-US"/>
              </w:rPr>
              <w:t xml:space="preserve">помощи в Декларация за минимални </w:t>
            </w:r>
            <w:r w:rsidR="000842F4">
              <w:rPr>
                <w:rFonts w:ascii="Times New Roman" w:eastAsia="Calibri" w:hAnsi="Times New Roman" w:cs="Times New Roman"/>
                <w:sz w:val="24"/>
                <w:szCs w:val="24"/>
                <w:lang w:eastAsia="en-US"/>
              </w:rPr>
              <w:t xml:space="preserve">и държавни </w:t>
            </w:r>
            <w:r>
              <w:rPr>
                <w:rFonts w:ascii="Times New Roman" w:eastAsia="Calibri" w:hAnsi="Times New Roman" w:cs="Times New Roman"/>
                <w:sz w:val="24"/>
                <w:szCs w:val="24"/>
                <w:lang w:val="en-GB" w:eastAsia="en-US"/>
              </w:rPr>
              <w:t>помощи, попълнена по образец – Приложение № 12.</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10. Цитираните по-горе условия на регламента се проверяват на етап административно съответствие и допустимост на проектното предложение.</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11. 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12. </w:t>
            </w:r>
            <w:r>
              <w:rPr>
                <w:rFonts w:ascii="Times New Roman" w:eastAsia="Calibri" w:hAnsi="Times New Roman" w:cs="Times New Roman"/>
                <w:sz w:val="24"/>
                <w:szCs w:val="24"/>
                <w:lang w:val="en-GB" w:eastAsia="en-US"/>
              </w:rPr>
              <w:tab/>
              <w:t xml:space="preserve">Периодът, който се проверява е три </w:t>
            </w:r>
            <w:r w:rsidR="004C456A">
              <w:rPr>
                <w:rFonts w:ascii="Times New Roman" w:eastAsia="Calibri" w:hAnsi="Times New Roman" w:cs="Times New Roman"/>
                <w:sz w:val="24"/>
                <w:szCs w:val="24"/>
                <w:lang w:eastAsia="en-US"/>
              </w:rPr>
              <w:t>бюджетни</w:t>
            </w:r>
            <w:r>
              <w:rPr>
                <w:rFonts w:ascii="Times New Roman" w:eastAsia="Calibri" w:hAnsi="Times New Roman" w:cs="Times New Roman"/>
                <w:sz w:val="24"/>
                <w:szCs w:val="24"/>
                <w:lang w:val="en-GB" w:eastAsia="en-US"/>
              </w:rPr>
              <w:t xml:space="preserve"> години.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13.</w:t>
            </w:r>
            <w:r>
              <w:rPr>
                <w:rFonts w:ascii="Times New Roman" w:eastAsia="Calibri" w:hAnsi="Times New Roman" w:cs="Times New Roman"/>
                <w:sz w:val="24"/>
                <w:szCs w:val="24"/>
                <w:lang w:val="en-GB" w:eastAsia="en-US"/>
              </w:rPr>
              <w:tab/>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14. </w:t>
            </w:r>
            <w:r>
              <w:rPr>
                <w:rFonts w:ascii="Times New Roman" w:eastAsia="Calibri" w:hAnsi="Times New Roman" w:cs="Times New Roman"/>
                <w:sz w:val="24"/>
                <w:szCs w:val="24"/>
                <w:lang w:val="en-GB" w:eastAsia="en-US"/>
              </w:rPr>
              <w:tab/>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15.</w:t>
            </w:r>
            <w:r>
              <w:rPr>
                <w:rFonts w:ascii="Times New Roman" w:eastAsia="Calibri" w:hAnsi="Times New Roman" w:cs="Times New Roman"/>
                <w:sz w:val="24"/>
                <w:szCs w:val="24"/>
                <w:lang w:val="en-GB" w:eastAsia="en-US"/>
              </w:rPr>
              <w:tab/>
              <w:t xml:space="preserve"> Преди сключване на договор за предоставяне на безвъзмездна финансова помощ, Държавен фонд „Земеделие</w:t>
            </w:r>
            <w:proofErr w:type="gramStart"/>
            <w:r>
              <w:rPr>
                <w:rFonts w:ascii="Times New Roman" w:eastAsia="Calibri" w:hAnsi="Times New Roman" w:cs="Times New Roman"/>
                <w:sz w:val="24"/>
                <w:szCs w:val="24"/>
                <w:lang w:val="en-GB" w:eastAsia="en-US"/>
              </w:rPr>
              <w:t>“ ще</w:t>
            </w:r>
            <w:proofErr w:type="gramEnd"/>
            <w:r>
              <w:rPr>
                <w:rFonts w:ascii="Times New Roman" w:eastAsia="Calibri" w:hAnsi="Times New Roman" w:cs="Times New Roman"/>
                <w:sz w:val="24"/>
                <w:szCs w:val="24"/>
                <w:lang w:val="en-GB" w:eastAsia="en-US"/>
              </w:rPr>
              <w:t xml:space="preserve"> извършва документална проверка на декларираните данни от одобрените кандидати в Декларацията за държавни/минимални помощи. </w:t>
            </w:r>
          </w:p>
          <w:p w:rsidR="00B33B36" w:rsidRPr="006F4A38" w:rsidRDefault="00371D29">
            <w:pPr>
              <w:tabs>
                <w:tab w:val="left" w:pos="1065"/>
              </w:tabs>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GB" w:eastAsia="en-US"/>
              </w:rPr>
              <w:t>16.</w:t>
            </w:r>
            <w:r>
              <w:rPr>
                <w:rFonts w:ascii="Times New Roman" w:eastAsia="Calibri" w:hAnsi="Times New Roman" w:cs="Times New Roman"/>
                <w:sz w:val="24"/>
                <w:szCs w:val="24"/>
                <w:lang w:val="en-GB" w:eastAsia="en-US"/>
              </w:rPr>
              <w:tab/>
              <w:t>Държавен фонд „Земеделие</w:t>
            </w:r>
            <w:proofErr w:type="gramStart"/>
            <w:r>
              <w:rPr>
                <w:rFonts w:ascii="Times New Roman" w:eastAsia="Calibri" w:hAnsi="Times New Roman" w:cs="Times New Roman"/>
                <w:sz w:val="24"/>
                <w:szCs w:val="24"/>
                <w:lang w:val="en-GB" w:eastAsia="en-US"/>
              </w:rPr>
              <w:t>“ информира</w:t>
            </w:r>
            <w:proofErr w:type="gramEnd"/>
            <w:r>
              <w:rPr>
                <w:rFonts w:ascii="Times New Roman" w:eastAsia="Calibri" w:hAnsi="Times New Roman" w:cs="Times New Roman"/>
                <w:sz w:val="24"/>
                <w:szCs w:val="24"/>
                <w:lang w:val="en-GB" w:eastAsia="en-US"/>
              </w:rPr>
              <w:t xml:space="preserve"> министъра на финансите в срок до три дни от предоставянето на всяка помощ, попадаща в обхвата на минимална помощ</w:t>
            </w:r>
            <w:r w:rsidR="006F4A38">
              <w:rPr>
                <w:rFonts w:ascii="Times New Roman" w:eastAsia="Calibri" w:hAnsi="Times New Roman" w:cs="Times New Roman"/>
                <w:sz w:val="24"/>
                <w:szCs w:val="24"/>
                <w:lang w:eastAsia="en-US"/>
              </w:rPr>
              <w:t>, чрез въвеждане на информацията в Информационната система „Регистър на минималните помощи“.</w:t>
            </w:r>
          </w:p>
          <w:p w:rsidR="00362EC7" w:rsidRPr="00362EC7" w:rsidRDefault="00371D29" w:rsidP="00362EC7">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17.</w:t>
            </w:r>
            <w:r>
              <w:rPr>
                <w:rFonts w:ascii="Times New Roman" w:eastAsia="Calibri" w:hAnsi="Times New Roman" w:cs="Times New Roman"/>
                <w:sz w:val="24"/>
                <w:szCs w:val="24"/>
                <w:lang w:val="en-GB" w:eastAsia="en-US"/>
              </w:rPr>
              <w:tab/>
              <w:t xml:space="preserve">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w:t>
            </w:r>
            <w:r>
              <w:rPr>
                <w:rFonts w:ascii="Times New Roman" w:eastAsia="Calibri" w:hAnsi="Times New Roman" w:cs="Times New Roman"/>
                <w:sz w:val="24"/>
                <w:szCs w:val="24"/>
                <w:lang w:val="en-GB" w:eastAsia="en-US"/>
              </w:rPr>
              <w:lastRenderedPageBreak/>
              <w:t>предоставена помощ по реда на Данъчно-осигурителния процесуален кодекс.</w:t>
            </w:r>
            <w:r w:rsidR="00362EC7" w:rsidRPr="00362EC7">
              <w:rPr>
                <w:rFonts w:ascii="Times New Roman" w:eastAsia="Calibri" w:hAnsi="Times New Roman" w:cs="Times New Roman"/>
                <w:sz w:val="24"/>
                <w:szCs w:val="24"/>
                <w:lang w:val="en-GB" w:eastAsia="en-US"/>
              </w:rPr>
              <w:t xml:space="preserve"> Администраторът на помощ е длъжен да предостави на всеки получател на държавна помощ или на минимална помощ информация за вида, размера, основанието за предоставяне и съвместимостта на помощта чрез посочване на акта на Европейския съюз, неговото наименование и публикуване в </w:t>
            </w:r>
            <w:r w:rsidR="0015007E">
              <w:rPr>
                <w:rFonts w:ascii="Times New Roman" w:eastAsia="Calibri" w:hAnsi="Times New Roman" w:cs="Times New Roman"/>
                <w:sz w:val="24"/>
                <w:szCs w:val="24"/>
                <w:lang w:eastAsia="en-US"/>
              </w:rPr>
              <w:t>„</w:t>
            </w:r>
            <w:r w:rsidR="00362EC7" w:rsidRPr="00362EC7">
              <w:rPr>
                <w:rFonts w:ascii="Times New Roman" w:eastAsia="Calibri" w:hAnsi="Times New Roman" w:cs="Times New Roman"/>
                <w:sz w:val="24"/>
                <w:szCs w:val="24"/>
                <w:lang w:val="en-GB" w:eastAsia="en-US"/>
              </w:rPr>
              <w:t>Официален вестник</w:t>
            </w:r>
            <w:r w:rsidR="0015007E">
              <w:rPr>
                <w:rFonts w:ascii="Times New Roman" w:eastAsia="Calibri" w:hAnsi="Times New Roman" w:cs="Times New Roman"/>
                <w:sz w:val="24"/>
                <w:szCs w:val="24"/>
                <w:lang w:eastAsia="en-US"/>
              </w:rPr>
              <w:t>“</w:t>
            </w:r>
            <w:r w:rsidR="00362EC7" w:rsidRPr="00362EC7">
              <w:rPr>
                <w:rFonts w:ascii="Times New Roman" w:eastAsia="Calibri" w:hAnsi="Times New Roman" w:cs="Times New Roman"/>
                <w:sz w:val="24"/>
                <w:szCs w:val="24"/>
                <w:lang w:val="en-GB" w:eastAsia="en-US"/>
              </w:rPr>
              <w:t xml:space="preserve"> на Европейския съюз, както и за произтичащите от получаването на помощта задължения за получателя на помощ. Информацията трябва да бъде включена в акта за предоставяне на помощта или да бъде предоставена на получателя на помощта в 14-дневен срок от издаването на акта.</w:t>
            </w:r>
          </w:p>
          <w:p w:rsidR="00B33B36" w:rsidRPr="0015007E" w:rsidRDefault="00362EC7" w:rsidP="0015007E">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sidRPr="00362EC7">
              <w:rPr>
                <w:rFonts w:ascii="Times New Roman" w:eastAsia="Calibri" w:hAnsi="Times New Roman" w:cs="Times New Roman"/>
                <w:sz w:val="24"/>
                <w:szCs w:val="24"/>
                <w:lang w:val="en-GB" w:eastAsia="en-US"/>
              </w:rPr>
              <w:t>Информация за размера на помощта не се предоставя, когато помощта е свързана с данъчни мерки, изискващи</w:t>
            </w:r>
            <w:r w:rsidRPr="0015007E">
              <w:rPr>
                <w:rFonts w:ascii="Times New Roman" w:eastAsia="Calibri" w:hAnsi="Times New Roman" w:cs="Times New Roman"/>
                <w:sz w:val="24"/>
                <w:szCs w:val="24"/>
                <w:lang w:val="en-GB" w:eastAsia="en-US"/>
              </w:rPr>
              <w:t xml:space="preserve"> обработка на данъчни декларации на данъчно задължени лица.</w:t>
            </w:r>
            <w:r w:rsidR="0015007E" w:rsidRPr="0015007E">
              <w:rPr>
                <w:rFonts w:ascii="Times New Roman" w:eastAsia="Calibri" w:hAnsi="Times New Roman" w:cs="Times New Roman"/>
                <w:sz w:val="24"/>
                <w:szCs w:val="24"/>
                <w:lang w:val="en-GB" w:eastAsia="en-US"/>
              </w:rPr>
              <w:t xml:space="preserve"> Администраторът на помощ е длъжен в акта за предоставяне на минимална помощ или помощ, освободена от задължението за уведомяване с акт на Съвета на Европейския съюз или на Европейската комисия, да определи правилата за прилагане на условията за нейното предоставяне и за контрол, както и механизъм за установяване на неправомерно получена минимална помощ. Правилата и механизмът може да се предоставят предварително на министъра на финансите, съответно на министъра на земеделието, храните и горите за изразяване на становище и/или за даване на указания.</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18.</w:t>
            </w:r>
            <w:r>
              <w:rPr>
                <w:rFonts w:ascii="Times New Roman" w:eastAsia="Calibri" w:hAnsi="Times New Roman" w:cs="Times New Roman"/>
                <w:sz w:val="24"/>
                <w:szCs w:val="24"/>
                <w:lang w:val="en-GB" w:eastAsia="en-US"/>
              </w:rPr>
              <w:tab/>
              <w:t>Възстановяването на неправомерно предоставена държавна помощ се извършва по реда на Закона за държавните помощи. Не се разрешава предоставяне на нова държавна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B33B36" w:rsidRDefault="00371D29">
            <w:pPr>
              <w:tabs>
                <w:tab w:val="left" w:pos="1065"/>
              </w:tabs>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19.</w:t>
            </w:r>
            <w:r>
              <w:rPr>
                <w:rFonts w:ascii="Times New Roman" w:eastAsia="Calibri" w:hAnsi="Times New Roman" w:cs="Times New Roman"/>
                <w:sz w:val="24"/>
                <w:szCs w:val="24"/>
                <w:lang w:val="en-GB" w:eastAsia="en-US"/>
              </w:rPr>
              <w:tab/>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B33B36" w:rsidRDefault="00371D29">
            <w:pPr>
              <w:spacing w:line="276" w:lineRule="auto"/>
              <w:ind w:firstLine="567"/>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За целите на таваните, посочени в т. 2,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w:t>
            </w:r>
          </w:p>
          <w:p w:rsidR="00B33B36" w:rsidRDefault="00371D29">
            <w:pPr>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GB" w:eastAsia="en-US"/>
              </w:rPr>
              <w:t>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rsidR="00725797" w:rsidRDefault="00725797">
            <w:pPr>
              <w:spacing w:line="276" w:lineRule="auto"/>
              <w:ind w:firstLine="567"/>
              <w:contextualSpacing/>
              <w:jc w:val="both"/>
              <w:rPr>
                <w:rFonts w:ascii="Times New Roman" w:eastAsia="Calibri" w:hAnsi="Times New Roman" w:cs="Times New Roman"/>
                <w:sz w:val="24"/>
                <w:szCs w:val="24"/>
                <w:lang w:eastAsia="en-US"/>
              </w:rPr>
            </w:pPr>
          </w:p>
          <w:p w:rsidR="00725797" w:rsidRPr="00725797" w:rsidRDefault="00725797" w:rsidP="00725797">
            <w:pPr>
              <w:spacing w:line="276"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eastAsia="en-US"/>
              </w:rPr>
              <w:t>Забележка: понятието „едно и също предприятие</w:t>
            </w:r>
            <w:proofErr w:type="gramStart"/>
            <w:r>
              <w:rPr>
                <w:rFonts w:ascii="Times New Roman" w:eastAsia="Calibri" w:hAnsi="Times New Roman" w:cs="Times New Roman"/>
                <w:sz w:val="24"/>
                <w:szCs w:val="24"/>
                <w:lang w:eastAsia="en-US"/>
              </w:rPr>
              <w:t>“ е</w:t>
            </w:r>
            <w:proofErr w:type="gramEnd"/>
            <w:r>
              <w:rPr>
                <w:rFonts w:ascii="Times New Roman" w:eastAsia="Calibri" w:hAnsi="Times New Roman" w:cs="Times New Roman"/>
                <w:sz w:val="24"/>
                <w:szCs w:val="24"/>
                <w:lang w:eastAsia="en-US"/>
              </w:rPr>
              <w:t xml:space="preserve"> съгласно чл. 2, пар. 2 от Регламент (ЕС) 1407</w:t>
            </w:r>
            <w:r>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eastAsia="en-US"/>
              </w:rPr>
              <w:t>2013. Използваните приложими дефиниции са съгласно чл. 2, пар. 1 от Регламент (ЕС) 1407</w:t>
            </w:r>
            <w:r>
              <w:rPr>
                <w:rFonts w:ascii="Times New Roman" w:eastAsia="Calibri" w:hAnsi="Times New Roman" w:cs="Times New Roman"/>
                <w:sz w:val="24"/>
                <w:szCs w:val="24"/>
                <w:lang w:val="en-GB" w:eastAsia="en-US"/>
              </w:rPr>
              <w:t>/</w:t>
            </w:r>
            <w:r>
              <w:rPr>
                <w:rFonts w:ascii="Times New Roman" w:eastAsia="Calibri" w:hAnsi="Times New Roman" w:cs="Times New Roman"/>
                <w:sz w:val="24"/>
                <w:szCs w:val="24"/>
                <w:lang w:eastAsia="en-US"/>
              </w:rPr>
              <w:t xml:space="preserve">2013. </w:t>
            </w:r>
          </w:p>
        </w:tc>
      </w:tr>
      <w:tr w:rsidR="00B33B36">
        <w:tc>
          <w:tcPr>
            <w:tcW w:w="9770" w:type="dxa"/>
            <w:tcBorders>
              <w:top w:val="single" w:sz="4" w:space="0" w:color="auto"/>
              <w:left w:val="nil"/>
              <w:bottom w:val="nil"/>
              <w:right w:val="nil"/>
            </w:tcBorders>
          </w:tcPr>
          <w:p w:rsidR="00B33B36" w:rsidRDefault="00B33B36">
            <w:pPr>
              <w:jc w:val="both"/>
              <w:rPr>
                <w:rFonts w:ascii="Times New Roman" w:hAnsi="Times New Roman" w:cs="Times New Roman"/>
                <w:sz w:val="24"/>
                <w:szCs w:val="24"/>
              </w:rPr>
            </w:pPr>
          </w:p>
        </w:tc>
      </w:tr>
    </w:tbl>
    <w:p w:rsidR="00B33B36" w:rsidRDefault="00B33B36">
      <w:pPr>
        <w:pStyle w:val="Heading1"/>
        <w:numPr>
          <w:ilvl w:val="0"/>
          <w:numId w:val="0"/>
        </w:numPr>
        <w:ind w:left="992"/>
        <w:rPr>
          <w:rFonts w:ascii="Times New Roman" w:hAnsi="Times New Roman" w:cs="Times New Roman"/>
          <w:color w:val="auto"/>
        </w:rPr>
      </w:pPr>
      <w:bookmarkStart w:id="16" w:name="_Toc491427459"/>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Хоризонтални политики</w:t>
      </w:r>
      <w:r>
        <w:rPr>
          <w:rFonts w:ascii="Times New Roman" w:hAnsi="Times New Roman" w:cs="Times New Roman"/>
          <w:color w:val="auto"/>
          <w:vertAlign w:val="superscript"/>
        </w:rPr>
        <w:footnoteReference w:id="2"/>
      </w:r>
      <w:bookmarkEnd w:id="16"/>
      <w:r>
        <w:rPr>
          <w:rFonts w:ascii="Times New Roman" w:hAnsi="Times New Roman" w:cs="Times New Roman"/>
          <w:color w:val="auto"/>
          <w:vertAlign w:val="superscript"/>
        </w:rPr>
        <w:t xml:space="preserve"> </w:t>
      </w:r>
      <w:r>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pStyle w:val="ListParagraph"/>
              <w:numPr>
                <w:ilvl w:val="0"/>
                <w:numId w:val="5"/>
              </w:num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Равенство между половете и липса на дискриминация:</w:t>
            </w:r>
          </w:p>
          <w:p w:rsidR="00B33B36" w:rsidRDefault="00371D29">
            <w:pPr>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color w:val="000000"/>
                <w:sz w:val="24"/>
                <w:szCs w:val="24"/>
                <w:u w:val="single"/>
              </w:rPr>
              <w:t>прилагане на принципа на равенство между половете:</w:t>
            </w:r>
            <w:r>
              <w:rPr>
                <w:rFonts w:ascii="Times New Roman" w:hAnsi="Times New Roman" w:cs="Times New Roman"/>
                <w:color w:val="000000"/>
                <w:sz w:val="24"/>
                <w:szCs w:val="24"/>
              </w:rPr>
              <w:t xml:space="preserve"> СВОМР ще интегрира хоризонталните приоритети на всички етапи на прилагане чрез: Повишаване на информираността на целевите групи за иновациите и целите на политиките за околна среда и изменение на климата; Стимулиране на разработването на проекти, които интегрират хоризонталните приоритети; Приоритизиране на проектите, които добавят стойност като допринасят за  хоризонталните приоритети; Мониторинг и оценка на приноса на прилаганите мерки за хоризонталните приоритети и своевременно предприемане на мерки за корекция, ако е необходимо. Принципът на равенство между половете, определян като желано равенство между двата пола във всички сфери на живота, вкл. наемането на работа, образованието и социалните права, бе приложен по време на подготовката на СМР. В прилагането на всички подмерки на СМР ще залегне и ще бъде съблюдаван хоризонталният принцип на равенство на половете. За неговото спазване ще гарантират следните механизми: предоставяне на информация във формулярите за кандидатстване, оценка, мониторинг по време на изпълнение на проектите, вкл. спазване на законодателството за трудова заетост. В условията на прилагането на всички подмерки на СМР, както и при подбор на участници в дейностите по проектите ще залегне и ще бъде съблюдаван принципът на равенство на половете. При разкриването на работни места в рамките на проектите ще се изисква да бъде прилаган принципът за равенство между половете.</w:t>
            </w:r>
          </w:p>
          <w:p w:rsidR="00B33B36" w:rsidRDefault="00371D29">
            <w:pPr>
              <w:spacing w:line="276"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допринасяне за утвърждаване на принципа на равните възможности:</w:t>
            </w:r>
            <w:r>
              <w:rPr>
                <w:rFonts w:ascii="Times New Roman" w:hAnsi="Times New Roman" w:cs="Times New Roman"/>
                <w:color w:val="000000"/>
                <w:sz w:val="24"/>
                <w:szCs w:val="24"/>
              </w:rPr>
              <w:t xml:space="preserve"> Принципът на равните възможности предполага изграждането на система от специални мерки, които целят да компенсират изоставането, базирано на произход, възраст или друга характеристика, която може да доведе до третирането на личността несправедливо. За спазването на хоризонталния принцип ще гарантират следните механизми: предоставяне на информация във формулярите за кандидатстване, оценка, мониторинг по време на изпълнение на проектите, вкл. спазване на законодателството за трудова заетост. Мерките, включени в СМР, освен ролята си за икономическото развитие на селския регион, имат роля и за социалното развитие. Особено мерки М07 (7.2; 7.5 и 7.6) ще допринесат за устойчивото социално-икономическо развитие на територията на МИГ, свързано със съществуващата инфраструктура и качеството на предлаганите услуги за населението в района. Разривът в обема на инвестициите и качеството на предлаганите услуги създава голяма ножица в качеството на живот на селото и града. Липсата на равни възможности пряко влияе върху социално-икономическото развитие на селата на територията на МИГ. Тези фактори влошават качеството на живот в селата, оказва пряко влияние върху привлекателността им за инвеститори, увеличава опасността от обезлюдяване на населените места и от социално-икономически спад. За да се намалят съществуващите различия между селото и града с подпомагането по мярката ще се създаде, подобри или разшири малка по мащаби инфраструктура, публична инфраструктура за отдих и туристическа информация и подобряване и разширяване на основните услуги, включително за отдих и спорт. По този начин мярката ще допринесе за ограничаване на диспропорциите в развитието и обезлюдяването на част от територията. Създават се условия за съхраняване на населените места и поддържане на образователните услуги, както и предоставяне на културни услуги.</w:t>
            </w:r>
          </w:p>
          <w:p w:rsidR="00B33B36" w:rsidRDefault="00371D29">
            <w:pPr>
              <w:pStyle w:val="ListParagraph"/>
              <w:spacing w:line="276" w:lineRule="auto"/>
              <w:ind w:left="0"/>
              <w:jc w:val="both"/>
              <w:rPr>
                <w:rFonts w:ascii="Times New Roman" w:hAnsi="Times New Roman" w:cs="Times New Roman"/>
                <w:color w:val="000000"/>
                <w:sz w:val="24"/>
                <w:szCs w:val="24"/>
                <w:highlight w:val="yellow"/>
              </w:rPr>
            </w:pPr>
            <w:r>
              <w:rPr>
                <w:rFonts w:ascii="Times New Roman" w:hAnsi="Times New Roman" w:cs="Times New Roman"/>
                <w:i/>
                <w:color w:val="000000"/>
                <w:sz w:val="24"/>
                <w:szCs w:val="24"/>
                <w:u w:val="single"/>
              </w:rPr>
              <w:t>– създаване на условия за превенция на дискриминацията: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Принципът на превенцията на </w:t>
            </w:r>
            <w:r>
              <w:rPr>
                <w:rFonts w:ascii="Times New Roman" w:hAnsi="Times New Roman" w:cs="Times New Roman"/>
                <w:color w:val="000000"/>
                <w:sz w:val="24"/>
                <w:szCs w:val="24"/>
              </w:rPr>
              <w:lastRenderedPageBreak/>
              <w:t>дискриминация, посочен в Европейските директиви, означава предотвратяване на неблагоприятно третиране на лице на основата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отколкото се третира друго лице при сравними, сходни обстоятелства. Този принцип бе приложен по време на подготовката на СМР. За спазването на хоризонталния принцип ще гарантират следните механизми: предоставяне на информация във формулярите за кандидатстване, оценка, мониторинг по време на изпълнение на проектите, вкл. спазване на законодателството за трудова заетост. В условията на прилагането на всички подмерки на СМР, както и при подбор на участници в дейностите по проектите ще залегне и ще бъде съблюдаван хоризонталният принцип на превенция на дискриминация. При разкриването на работни места в рамките на проектите ще се изисква да бъде прилаган принципът за превенция на дискриминация.</w:t>
            </w:r>
          </w:p>
          <w:p w:rsidR="00B33B36" w:rsidRDefault="00371D29">
            <w:pPr>
              <w:pStyle w:val="ListParagraph"/>
              <w:numPr>
                <w:ilvl w:val="0"/>
                <w:numId w:val="5"/>
              </w:numPr>
              <w:spacing w:line="276" w:lineRule="auto"/>
              <w:jc w:val="both"/>
              <w:rPr>
                <w:rFonts w:ascii="Times New Roman" w:hAnsi="Times New Roman" w:cs="Times New Roman"/>
                <w:sz w:val="24"/>
                <w:szCs w:val="24"/>
                <w:shd w:val="clear" w:color="auto" w:fill="FEFEFE"/>
              </w:rPr>
            </w:pPr>
            <w:r>
              <w:rPr>
                <w:rFonts w:ascii="Times New Roman" w:hAnsi="Times New Roman" w:cs="Times New Roman"/>
                <w:b/>
                <w:color w:val="000000"/>
                <w:sz w:val="24"/>
                <w:szCs w:val="24"/>
              </w:rPr>
              <w:t>Устойчиво развитие (защита на околната среда):</w:t>
            </w:r>
            <w:r>
              <w:rPr>
                <w:rFonts w:ascii="Times New Roman" w:hAnsi="Times New Roman" w:cs="Times New Roman"/>
                <w:sz w:val="24"/>
                <w:szCs w:val="24"/>
                <w:shd w:val="clear" w:color="auto" w:fill="FEFEFE"/>
              </w:rPr>
              <w:t xml:space="preserve"> </w:t>
            </w:r>
          </w:p>
          <w:p w:rsidR="00B33B36" w:rsidRDefault="00371D29">
            <w:pPr>
              <w:spacing w:line="276" w:lineRule="auto"/>
              <w:jc w:val="both"/>
              <w:rPr>
                <w:rFonts w:ascii="Times New Roman" w:hAnsi="Times New Roman"/>
                <w:sz w:val="24"/>
                <w:szCs w:val="24"/>
              </w:rPr>
            </w:pPr>
            <w:r>
              <w:rPr>
                <w:rFonts w:ascii="Times New Roman" w:hAnsi="Times New Roman"/>
                <w:sz w:val="24"/>
                <w:szCs w:val="24"/>
              </w:rPr>
              <w:t>В подготовката на СМР е приложен принципът на устойчивото развитие, който следва да гарантира постигането на целите на сегашните поколения без нанасяне на щети и рискове за следващите поколения, свеждане до минимум на неблагоприятните ефекти от човешката дейност и използване на природните ресурси по начин, който гарантира тяхното последващо самовъзстановяване. Принципът обвързва икономическата с екологичната ефективност, вкл. обвързването на екологични, засягащи състоянието на природното равновесие въпроси; с икономическите въпроси, отнасящи се до екологоемкостта; и, от трета страна, със социални въпроси, свързани със стопанските и природните условия на живот: заетост, образование и обучение, здраве, достъп до „здрава” природна среда, отговорно и споделено управление, както и намаляване и елиминиране на неустойчивите модели на производство и потребление.</w:t>
            </w:r>
          </w:p>
          <w:p w:rsidR="00B33B36" w:rsidRDefault="00371D29">
            <w:pPr>
              <w:spacing w:line="276" w:lineRule="auto"/>
              <w:jc w:val="both"/>
              <w:rPr>
                <w:sz w:val="24"/>
                <w:szCs w:val="24"/>
                <w:highlight w:val="yellow"/>
                <w:shd w:val="clear" w:color="auto" w:fill="FEFEFE"/>
              </w:rPr>
            </w:pPr>
            <w:r>
              <w:rPr>
                <w:rFonts w:ascii="Times New Roman" w:hAnsi="Times New Roman"/>
                <w:sz w:val="24"/>
                <w:szCs w:val="24"/>
              </w:rPr>
              <w:t>В прилагането на всички подмерки на СМР ще залегне и ще бъде съблюдаван хоризонталният принцип за устойчиво развитие и защита на околната среда. Ще се стимулира разработването на проекти, които интегрират принципа за устойчиво развитие и защита на околната среда. При подбора ще се приоритизират проекти, които добавят стойност, като допринасят за устойчиво развитие и защита на околната среда. В мониторинга и оценката на реализацията на проектите ще се наблюдава приносът им за устойчиво развитие и защита на околната среда и своевременно ще се предприемат мерки за корекция, ако е необходимо. За спазването на хоризонталния принцип ще гарантират следните механизми: предоставяне на информация във формулярите за кандидатстване, оценка, мониторинг по време на изпълнение на проектите, вкл. спазване на екологичното законодателството. С прилагането на М07 (7.2; 7.5 и 7.6) има възможност да се въведат новите изисквания за интеграция на политиката по околна сред (ПОС) и политиката по изменение на климата, както и иновации при изграждането и обновяването на инфраструктурата, като примерно екоиновации в областта на водоснабдяването и пречистването на водите, в областта на туризма.</w:t>
            </w:r>
          </w:p>
          <w:p w:rsidR="00B33B36" w:rsidRDefault="00371D29">
            <w:pPr>
              <w:pStyle w:val="ListParagraph"/>
              <w:spacing w:line="276" w:lineRule="auto"/>
              <w:ind w:left="0"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3. Насърчаване на заетостта и конкурентоспособността:</w:t>
            </w:r>
          </w:p>
          <w:p w:rsidR="00B33B36" w:rsidRDefault="00371D29">
            <w:pPr>
              <w:spacing w:line="276" w:lineRule="auto"/>
              <w:jc w:val="both"/>
              <w:rPr>
                <w:rFonts w:ascii="Times New Roman" w:hAnsi="Times New Roman"/>
                <w:sz w:val="24"/>
                <w:szCs w:val="24"/>
              </w:rPr>
            </w:pPr>
            <w:r>
              <w:rPr>
                <w:rFonts w:ascii="Times New Roman" w:hAnsi="Times New Roman"/>
                <w:sz w:val="24"/>
                <w:szCs w:val="24"/>
              </w:rPr>
              <w:t xml:space="preserve">В подготовката на СМР е приложен принципът за насърчаване на заетостта и конкурентоспособността, неговото прилагане ще бъде посочено като задължително при подготовката и реализацията на проекти в рамките на СМР. Като приоритетно ще бъде оценявано разкриването на работни места, вкл. по временна (сезонна) заетост. За спазването на хоризонталния принцип ще гарантират следните механизми: предоставяне на информация във формулярите за кандидатстване, оценка, мониторинг по време на </w:t>
            </w:r>
            <w:r>
              <w:rPr>
                <w:rFonts w:ascii="Times New Roman" w:hAnsi="Times New Roman"/>
                <w:sz w:val="24"/>
                <w:szCs w:val="24"/>
              </w:rPr>
              <w:lastRenderedPageBreak/>
              <w:t xml:space="preserve">изпълнение на проектите, вкл. спазване на законодателството за трудова заетост. </w:t>
            </w:r>
          </w:p>
          <w:p w:rsidR="00B33B36" w:rsidRDefault="00371D29">
            <w:pPr>
              <w:spacing w:line="276" w:lineRule="auto"/>
              <w:jc w:val="both"/>
              <w:rPr>
                <w:rFonts w:ascii="Times New Roman" w:hAnsi="Times New Roman"/>
                <w:sz w:val="24"/>
                <w:szCs w:val="24"/>
              </w:rPr>
            </w:pPr>
            <w:r>
              <w:rPr>
                <w:rFonts w:ascii="Times New Roman" w:hAnsi="Times New Roman"/>
                <w:sz w:val="24"/>
                <w:szCs w:val="24"/>
              </w:rPr>
              <w:t>В рамките на М07 (7.2; 7.5 и 7.6) при изграждането и обновяването на инфраструктурата ще се повиши привлекателността на територията и ще се създадат условия за съхраняване на населените места и осигуряване на работни места.</w:t>
            </w:r>
          </w:p>
        </w:tc>
      </w:tr>
    </w:tbl>
    <w:p w:rsidR="00B33B36" w:rsidRDefault="00B33B36">
      <w:pPr>
        <w:pStyle w:val="Heading1"/>
        <w:numPr>
          <w:ilvl w:val="0"/>
          <w:numId w:val="0"/>
        </w:numPr>
        <w:ind w:left="992"/>
        <w:rPr>
          <w:rFonts w:ascii="Times New Roman" w:hAnsi="Times New Roman" w:cs="Times New Roman"/>
          <w:color w:val="auto"/>
        </w:rPr>
      </w:pPr>
      <w:bookmarkStart w:id="17" w:name="_Toc491427460"/>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Минимален и максимален  срок за изпълнение на проекта</w:t>
      </w:r>
      <w:bookmarkEnd w:id="17"/>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pStyle w:val="Default"/>
              <w:spacing w:line="276" w:lineRule="auto"/>
              <w:ind w:firstLine="330"/>
              <w:jc w:val="both"/>
              <w:rPr>
                <w:rFonts w:ascii="Times New Roman" w:hAnsi="Times New Roman" w:cs="Times New Roman"/>
                <w:sz w:val="24"/>
                <w:szCs w:val="24"/>
              </w:rPr>
            </w:pPr>
            <w:r>
              <w:rPr>
                <w:rFonts w:ascii="Times New Roman" w:hAnsi="Times New Roman" w:cs="Times New Roman"/>
                <w:sz w:val="24"/>
                <w:szCs w:val="24"/>
              </w:rPr>
              <w:t xml:space="preserve">Стратегията за ВОМР на МИГ ПРЕСПА – общини Баните, Лъки и Чепеларе е разработена за периода до 31 декември 2020 г. </w:t>
            </w:r>
          </w:p>
          <w:p w:rsidR="00B33B36" w:rsidRDefault="00371D29">
            <w:pPr>
              <w:spacing w:line="276" w:lineRule="auto"/>
              <w:ind w:firstLine="330"/>
              <w:jc w:val="both"/>
              <w:rPr>
                <w:rFonts w:ascii="Times New Roman" w:hAnsi="Times New Roman" w:cs="Times New Roman"/>
                <w:sz w:val="24"/>
                <w:szCs w:val="24"/>
              </w:rPr>
            </w:pPr>
            <w:r>
              <w:rPr>
                <w:rFonts w:ascii="Times New Roman" w:hAnsi="Times New Roman" w:cs="Times New Roman"/>
                <w:sz w:val="24"/>
                <w:szCs w:val="24"/>
              </w:rPr>
              <w:t xml:space="preserve">Крайният срок за изпълнение на дейностите по проектите към стратегия за ВОМР, финансирани от ЕЗФРСР е </w:t>
            </w:r>
            <w:r w:rsidRPr="0006706F">
              <w:rPr>
                <w:rFonts w:ascii="Times New Roman" w:hAnsi="Times New Roman" w:cs="Times New Roman"/>
                <w:b/>
                <w:sz w:val="24"/>
                <w:szCs w:val="24"/>
              </w:rPr>
              <w:t>до 30 юни 2023 г.</w:t>
            </w:r>
            <w:r>
              <w:rPr>
                <w:rFonts w:ascii="Times New Roman" w:hAnsi="Times New Roman" w:cs="Times New Roman"/>
                <w:sz w:val="24"/>
                <w:szCs w:val="24"/>
              </w:rPr>
              <w:t xml:space="preserve"> </w:t>
            </w:r>
          </w:p>
          <w:p w:rsidR="00B33B36" w:rsidRDefault="00371D29">
            <w:pPr>
              <w:spacing w:line="276" w:lineRule="auto"/>
              <w:ind w:firstLine="330"/>
              <w:jc w:val="both"/>
              <w:rPr>
                <w:rFonts w:ascii="Times New Roman" w:hAnsi="Times New Roman" w:cs="Times New Roman"/>
                <w:sz w:val="24"/>
                <w:szCs w:val="24"/>
              </w:rPr>
            </w:pPr>
            <w:r>
              <w:rPr>
                <w:rFonts w:ascii="Times New Roman" w:hAnsi="Times New Roman" w:cs="Times New Roman"/>
                <w:sz w:val="24"/>
                <w:szCs w:val="24"/>
              </w:rPr>
              <w:t>Минимален срок за изпълнение на проектите – няма.</w:t>
            </w:r>
          </w:p>
          <w:p w:rsidR="00B33B36" w:rsidRDefault="00371D29">
            <w:pPr>
              <w:spacing w:line="276" w:lineRule="auto"/>
              <w:ind w:firstLine="330"/>
              <w:jc w:val="both"/>
              <w:rPr>
                <w:rFonts w:ascii="Times New Roman" w:hAnsi="Times New Roman" w:cs="Times New Roman"/>
                <w:sz w:val="24"/>
                <w:szCs w:val="24"/>
              </w:rPr>
            </w:pPr>
            <w:r>
              <w:rPr>
                <w:rFonts w:ascii="Times New Roman" w:hAnsi="Times New Roman" w:cs="Times New Roman"/>
                <w:sz w:val="24"/>
                <w:szCs w:val="24"/>
              </w:rPr>
              <w:t xml:space="preserve">Максимален срок за изпълнение на проектите, финансирани по ЕЗФРСР – до </w:t>
            </w:r>
            <w:r>
              <w:rPr>
                <w:rFonts w:ascii="Times New Roman" w:hAnsi="Times New Roman" w:cs="Times New Roman"/>
                <w:sz w:val="24"/>
                <w:szCs w:val="24"/>
                <w:lang w:val="en-US"/>
              </w:rPr>
              <w:t>24</w:t>
            </w:r>
            <w:r>
              <w:rPr>
                <w:rFonts w:ascii="Times New Roman" w:hAnsi="Times New Roman" w:cs="Times New Roman"/>
                <w:sz w:val="24"/>
                <w:szCs w:val="24"/>
              </w:rPr>
              <w:t xml:space="preserve"> месеца, считано от:</w:t>
            </w:r>
          </w:p>
          <w:p w:rsidR="00B33B36" w:rsidRDefault="00371D29">
            <w:pPr>
              <w:spacing w:line="276" w:lineRule="auto"/>
              <w:ind w:firstLine="330"/>
              <w:jc w:val="both"/>
              <w:rPr>
                <w:rFonts w:ascii="Times New Roman" w:hAnsi="Times New Roman" w:cs="Times New Roman"/>
                <w:sz w:val="24"/>
                <w:szCs w:val="24"/>
              </w:rPr>
            </w:pPr>
            <w:r>
              <w:rPr>
                <w:rFonts w:ascii="Times New Roman" w:hAnsi="Times New Roman" w:cs="Times New Roman"/>
                <w:sz w:val="24"/>
                <w:szCs w:val="24"/>
              </w:rPr>
              <w:t>1. датата на подписването на договора за предоставяне на финансова помощ с ДФЗ - РА за кандидати, които не са възложители по смисъла на ЗОП;</w:t>
            </w:r>
          </w:p>
          <w:p w:rsidR="00B33B36" w:rsidRDefault="00371D29">
            <w:pPr>
              <w:pStyle w:val="ListParagraph"/>
              <w:spacing w:line="276" w:lineRule="auto"/>
              <w:ind w:left="0" w:firstLine="330"/>
              <w:jc w:val="both"/>
              <w:rPr>
                <w:rFonts w:ascii="Times New Roman" w:hAnsi="Times New Roman" w:cs="Times New Roman"/>
                <w:sz w:val="24"/>
                <w:szCs w:val="24"/>
              </w:rPr>
            </w:pPr>
            <w:r>
              <w:rPr>
                <w:rFonts w:ascii="Times New Roman" w:hAnsi="Times New Roman" w:cs="Times New Roman"/>
                <w:sz w:val="24"/>
                <w:szCs w:val="24"/>
              </w:rPr>
              <w:t>2. датата на уведомяване на получателя на финансова помощ за решението за съгласуване/отказ за съгласуване на последната по време процедура за избор на изпълнител по проекта, когато получателят е възложител по ЗОП.</w:t>
            </w:r>
          </w:p>
        </w:tc>
      </w:tr>
    </w:tbl>
    <w:p w:rsidR="00B33B36" w:rsidRDefault="00B33B36">
      <w:pPr>
        <w:pStyle w:val="Heading1"/>
        <w:numPr>
          <w:ilvl w:val="0"/>
          <w:numId w:val="0"/>
        </w:numPr>
        <w:ind w:left="992"/>
        <w:rPr>
          <w:rFonts w:ascii="Times New Roman" w:hAnsi="Times New Roman" w:cs="Times New Roman"/>
          <w:color w:val="auto"/>
        </w:rPr>
      </w:pPr>
      <w:bookmarkStart w:id="18" w:name="_Toc491427461"/>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Ред за оценяване на концепцията за проектни предложения</w:t>
      </w:r>
      <w:bookmarkEnd w:id="18"/>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tabs>
                <w:tab w:val="left" w:pos="313"/>
              </w:tabs>
              <w:ind w:left="360"/>
              <w:rPr>
                <w:rFonts w:ascii="Times New Roman" w:hAnsi="Times New Roman" w:cs="Times New Roman"/>
                <w:sz w:val="24"/>
                <w:szCs w:val="24"/>
              </w:rPr>
            </w:pPr>
            <w:r>
              <w:rPr>
                <w:rFonts w:ascii="Times New Roman" w:hAnsi="Times New Roman" w:cs="Times New Roman"/>
                <w:sz w:val="24"/>
                <w:szCs w:val="24"/>
              </w:rPr>
              <w:t>Неприложимо</w:t>
            </w:r>
          </w:p>
        </w:tc>
      </w:tr>
    </w:tbl>
    <w:p w:rsidR="00B33B36" w:rsidRDefault="00B33B36">
      <w:pPr>
        <w:pStyle w:val="Heading1"/>
        <w:numPr>
          <w:ilvl w:val="0"/>
          <w:numId w:val="0"/>
        </w:numPr>
        <w:ind w:left="992"/>
        <w:rPr>
          <w:rFonts w:ascii="Times New Roman" w:hAnsi="Times New Roman" w:cs="Times New Roman"/>
          <w:color w:val="auto"/>
        </w:rPr>
      </w:pPr>
      <w:bookmarkStart w:id="19" w:name="_Toc491427462"/>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Критерии и методика за  оценка на концепциите за проектни предложения</w:t>
      </w:r>
      <w:r>
        <w:rPr>
          <w:rFonts w:ascii="Times New Roman" w:hAnsi="Times New Roman" w:cs="Times New Roman"/>
          <w:color w:val="auto"/>
          <w:vertAlign w:val="superscript"/>
        </w:rPr>
        <w:footnoteReference w:id="3"/>
      </w:r>
      <w:r>
        <w:rPr>
          <w:rFonts w:ascii="Times New Roman" w:hAnsi="Times New Roman" w:cs="Times New Roman"/>
          <w:color w:val="auto"/>
          <w:vertAlign w:val="superscript"/>
        </w:rPr>
        <w:t xml:space="preserve"> </w:t>
      </w:r>
      <w:r>
        <w:rPr>
          <w:rFonts w:ascii="Times New Roman" w:hAnsi="Times New Roman" w:cs="Times New Roman"/>
          <w:color w:val="auto"/>
        </w:rPr>
        <w:t>:</w:t>
      </w:r>
      <w:bookmarkEnd w:id="19"/>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ind w:left="360"/>
              <w:rPr>
                <w:rFonts w:ascii="Times New Roman" w:hAnsi="Times New Roman" w:cs="Times New Roman"/>
                <w:sz w:val="24"/>
                <w:szCs w:val="24"/>
              </w:rPr>
            </w:pPr>
            <w:r>
              <w:rPr>
                <w:rFonts w:ascii="Times New Roman" w:hAnsi="Times New Roman" w:cs="Times New Roman"/>
                <w:sz w:val="24"/>
                <w:szCs w:val="24"/>
              </w:rPr>
              <w:t>Неприложимо</w:t>
            </w:r>
          </w:p>
        </w:tc>
      </w:tr>
    </w:tbl>
    <w:p w:rsidR="00B33B36" w:rsidRDefault="00B33B36">
      <w:pPr>
        <w:pStyle w:val="Heading1"/>
        <w:numPr>
          <w:ilvl w:val="0"/>
          <w:numId w:val="0"/>
        </w:numPr>
        <w:ind w:left="992"/>
        <w:rPr>
          <w:rFonts w:ascii="Times New Roman" w:hAnsi="Times New Roman" w:cs="Times New Roman"/>
          <w:sz w:val="24"/>
          <w:szCs w:val="24"/>
        </w:rPr>
      </w:pPr>
      <w:bookmarkStart w:id="20" w:name="_Toc491427463"/>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Ред за оценяване на проектните предложения</w:t>
      </w:r>
      <w:bookmarkEnd w:id="20"/>
      <w:r>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9770"/>
      </w:tblGrid>
      <w:tr w:rsidR="00B33B36">
        <w:tc>
          <w:tcPr>
            <w:tcW w:w="9770" w:type="dxa"/>
          </w:tcPr>
          <w:p w:rsidR="00B33B36" w:rsidRPr="00402CBE" w:rsidRDefault="00B33B36">
            <w:pPr>
              <w:pStyle w:val="BodyText"/>
              <w:spacing w:line="276" w:lineRule="exact"/>
              <w:ind w:left="0" w:firstLine="567"/>
              <w:jc w:val="both"/>
              <w:rPr>
                <w:rFonts w:ascii="Times New Roman" w:hAnsi="Times New Roman" w:cs="Times New Roman"/>
                <w:color w:val="000000"/>
              </w:rPr>
            </w:pP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Подборът на проектни предложения към стратегията за Водено от общностите местно развитие на сдружение с нестопанска цел „Местна инициативна група Преспа – общини Баните, Лъки и Чепеларе“ се извършва в съответствие с Глава пета, Раздел I на Постановление № 161 на Министерския съвет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Редът за оценка на проектни предложения към стратегията за ВОМР на сдружение с нестопанска цел „Местна инициативна група Преспа – общини Баните, Лъки и Чепеларе“ гарантира: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lastRenderedPageBreak/>
              <w:t>-</w:t>
            </w:r>
            <w:r w:rsidRPr="00402CBE">
              <w:rPr>
                <w:rFonts w:ascii="Times New Roman" w:hAnsi="Times New Roman" w:cs="Times New Roman"/>
                <w:color w:val="000000"/>
              </w:rPr>
              <w:tab/>
              <w:t>Избягването на конфликт на интереси при подбора на проекти към стратегията;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Поне 50% от гласовете при решения за подбор на проекти са взети от членове на комисията за подбор, които не са представители на публичния сектор;</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Резултатите от подбора на проекти се документират и процедурата отговаря на изискванията за публичност и прозрачност.</w:t>
            </w:r>
          </w:p>
          <w:p w:rsidR="00B33B36" w:rsidRPr="00402CBE" w:rsidRDefault="00B33B36">
            <w:pPr>
              <w:pStyle w:val="BodyText"/>
              <w:spacing w:line="276" w:lineRule="exact"/>
              <w:ind w:left="0" w:firstLine="567"/>
              <w:jc w:val="both"/>
              <w:rPr>
                <w:rFonts w:ascii="Times New Roman" w:hAnsi="Times New Roman" w:cs="Times New Roman"/>
                <w:color w:val="000000"/>
              </w:rPr>
            </w:pP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 Раздел I. Комисия за подбор на проектни предложения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 1. Председателят на колективния управителен орган на МИГ Преспа – общини Баните, Лъки и Чепеларе </w:t>
            </w:r>
            <w:proofErr w:type="gramStart"/>
            <w:r w:rsidRPr="00402CBE">
              <w:rPr>
                <w:rFonts w:ascii="Times New Roman" w:hAnsi="Times New Roman" w:cs="Times New Roman"/>
                <w:color w:val="000000"/>
              </w:rPr>
              <w:t>назначава  със</w:t>
            </w:r>
            <w:proofErr w:type="gramEnd"/>
            <w:r w:rsidRPr="00402CBE">
              <w:rPr>
                <w:rFonts w:ascii="Times New Roman" w:hAnsi="Times New Roman" w:cs="Times New Roman"/>
                <w:color w:val="000000"/>
              </w:rPr>
              <w:t xml:space="preserve"> заповед Комисия за подбор на проектни предложения (КППП) в срок до три дни след крайния  срок за подаването на проектните предложения. В заповедта се определят и правата на достъп </w:t>
            </w:r>
            <w:proofErr w:type="gramStart"/>
            <w:r w:rsidRPr="00402CBE">
              <w:rPr>
                <w:rFonts w:ascii="Times New Roman" w:hAnsi="Times New Roman" w:cs="Times New Roman"/>
                <w:color w:val="000000"/>
              </w:rPr>
              <w:t>до  ИСУН</w:t>
            </w:r>
            <w:proofErr w:type="gramEnd"/>
            <w:r w:rsidRPr="00402CBE">
              <w:rPr>
                <w:rFonts w:ascii="Times New Roman" w:hAnsi="Times New Roman" w:cs="Times New Roman"/>
                <w:color w:val="000000"/>
              </w:rPr>
              <w:t xml:space="preserve"> 2020 за всеки член на комисията.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 2. Един ден след издаване на заповедта, тя се изпраща до Централното координационно звено (ЦКЗ) заедно със заявки за създаване на профили в ИСУН 2020 на членовете на оценителната  комисия и до УО за създаване на оценителната комисия.</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3. В комисията се включват председател, секретар, нечетен брой членове – не по-малко от трима и резервни членове – не по-малко от трима.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4. Членовете на КППП могат да бъдат служители на МИГ „Преспа – общини Баните, Лъки и Чепеларе“, членове на  Колективния върховен орган на МИГ „Преспа – общини Баните, Лъки и Чепеларе“ и външни експерти-оценители.</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5. Външните експерти – оценители се избират при спазване на разпоредбите на чл. 13 от ПМС № 162 от 2016 г. Външните експерти-оценители, членове на КППП, трябва да притежават необходимата квалификация и опит съобразно вида на оценяваните проекти. Външен експерт-оценител, член на КППП, не може да участва в оценка на формуляри за кандидатстване, ако е участвал в оценка на стратегията.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6. В работата на комисията могат да участват и наблюдатели по предложение на УО на ПРСР 2014-2020 г. и помощник оценители, които не са членове на КППП. След приключване на своята дейност наблюдателите изготвят доклад до УО.</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7. Помощник оценителите са служители на МИГ или външни експерти-оценители, които подпомагат дейността по оценка и чиято дейност се ограничава до етапите на оценка, определени в заповедта за назначаване на КППП.</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8. Право на глас в КППП имат само членовете. Председателят и секретарят нямат право на глас.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9. Делът на представителите на публичния сектор в комисията не може да превишава 50 на сто от имащите право на глас членове.</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10. Не по-малко от 1/3 от членовете с право на глас на Комисията за подбор на проектни предложения (КППП) са членове на колективния върховен орган на МИГ.</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11. Председателят и секретарят на комисията не могат да бъдат външни експерти.</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12. Председателят, секретарят и членовете на комисията, както и наблюдателите и помощник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w:t>
            </w:r>
            <w:proofErr w:type="gramStart"/>
            <w:r w:rsidRPr="00402CBE">
              <w:rPr>
                <w:rFonts w:ascii="Times New Roman" w:hAnsi="Times New Roman" w:cs="Times New Roman"/>
                <w:color w:val="000000"/>
              </w:rPr>
              <w:t>в  комисията</w:t>
            </w:r>
            <w:proofErr w:type="gramEnd"/>
            <w:r w:rsidRPr="00402CBE">
              <w:rPr>
                <w:rFonts w:ascii="Times New Roman" w:hAnsi="Times New Roman" w:cs="Times New Roman"/>
                <w:color w:val="000000"/>
              </w:rPr>
              <w:t>.</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13. Лицата по т. 12 не могат:</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 </w:t>
            </w:r>
            <w:proofErr w:type="gramStart"/>
            <w:r w:rsidRPr="00402CBE">
              <w:rPr>
                <w:rFonts w:ascii="Times New Roman" w:hAnsi="Times New Roman" w:cs="Times New Roman"/>
                <w:color w:val="000000"/>
              </w:rPr>
              <w:t>да</w:t>
            </w:r>
            <w:proofErr w:type="gramEnd"/>
            <w:r w:rsidRPr="00402CBE">
              <w:rPr>
                <w:rFonts w:ascii="Times New Roman" w:hAnsi="Times New Roman" w:cs="Times New Roman"/>
                <w:color w:val="000000"/>
              </w:rPr>
              <w:t xml:space="preserve">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 с някой от кандидатите или партньорите в процедурата за предоставяне на безвъзмездна помощ;</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да са свързани лица по смисъла на § 1, т. 1 от допълнителните разпоредби на Закона </w:t>
            </w:r>
            <w:r w:rsidRPr="00402CBE">
              <w:rPr>
                <w:rFonts w:ascii="Times New Roman" w:hAnsi="Times New Roman" w:cs="Times New Roman"/>
                <w:color w:val="000000"/>
              </w:rPr>
              <w:lastRenderedPageBreak/>
              <w:t>за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предотвратяване и установяване на конфликт на интереси с кандидат или партньор в процедурата;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да са лица, които се намират помежду си в йерархична зависимост;</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r>
            <w:proofErr w:type="gramStart"/>
            <w:r w:rsidRPr="00402CBE">
              <w:rPr>
                <w:rFonts w:ascii="Times New Roman" w:hAnsi="Times New Roman" w:cs="Times New Roman"/>
                <w:color w:val="000000"/>
              </w:rPr>
              <w:t>да</w:t>
            </w:r>
            <w:proofErr w:type="gramEnd"/>
            <w:r w:rsidRPr="00402CBE">
              <w:rPr>
                <w:rFonts w:ascii="Times New Roman" w:hAnsi="Times New Roman" w:cs="Times New Roman"/>
                <w:color w:val="000000"/>
              </w:rPr>
              <w:t xml:space="preserve"> са участвали в процеса на подпомагане на подготовката на проектите на кандидатите от съответния прием.</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14. В хода на оценителния процес по аналогия се спазват и ал. 4-9 на чл. 16 от ПМС № 162 от 2016 г. </w:t>
            </w:r>
          </w:p>
          <w:p w:rsidR="00B33B36" w:rsidRPr="00402CBE" w:rsidRDefault="00B33B36">
            <w:pPr>
              <w:pStyle w:val="BodyText"/>
              <w:spacing w:line="276" w:lineRule="exact"/>
              <w:ind w:left="0" w:firstLine="567"/>
              <w:jc w:val="both"/>
              <w:rPr>
                <w:rFonts w:ascii="Times New Roman" w:hAnsi="Times New Roman" w:cs="Times New Roman"/>
                <w:color w:val="000000"/>
              </w:rPr>
            </w:pP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Раздел II. Подбор на проектни предложения</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1. Комисията извършва оценка на всички постъпили проекти в срок до 30 работни </w:t>
            </w:r>
            <w:proofErr w:type="gramStart"/>
            <w:r w:rsidRPr="00402CBE">
              <w:rPr>
                <w:rFonts w:ascii="Times New Roman" w:hAnsi="Times New Roman" w:cs="Times New Roman"/>
                <w:color w:val="000000"/>
              </w:rPr>
              <w:t>дни  от</w:t>
            </w:r>
            <w:proofErr w:type="gramEnd"/>
            <w:r w:rsidRPr="00402CBE">
              <w:rPr>
                <w:rFonts w:ascii="Times New Roman" w:hAnsi="Times New Roman" w:cs="Times New Roman"/>
                <w:color w:val="000000"/>
              </w:rPr>
              <w:t xml:space="preserve"> изтичане на крайния срок на приема.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2. Проектните предложения, подадени от МИГ, се разглеждат от УО/ ДФЗ до 30 работни </w:t>
            </w:r>
            <w:proofErr w:type="gramStart"/>
            <w:r w:rsidRPr="00402CBE">
              <w:rPr>
                <w:rFonts w:ascii="Times New Roman" w:hAnsi="Times New Roman" w:cs="Times New Roman"/>
                <w:color w:val="000000"/>
              </w:rPr>
              <w:t>дни  от</w:t>
            </w:r>
            <w:proofErr w:type="gramEnd"/>
            <w:r w:rsidRPr="00402CBE">
              <w:rPr>
                <w:rFonts w:ascii="Times New Roman" w:hAnsi="Times New Roman" w:cs="Times New Roman"/>
                <w:color w:val="000000"/>
              </w:rPr>
              <w:t xml:space="preserve"> изтичане на крайния срок на приема.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3. Получените проектни предложения се проверяват за административно съответствие и допустимост. На техническа и финансова оценка подлежат само преминалите административно съответствие и допустимост.</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4. Оценката на проектните предложения се извършва по критерии и методика, определени в Условията за кандидатстване. В условията за кандидатстване се определя минимално допустима оценка за качество на проектните предложения.</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5. Оценката се извършва в ИСУН 2020.</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 6. Оценката за административно съответствие и допустимост се извършва от най- малко от двама членове на комисията, като членовете, представляващи публичния сектор (съгласно определение по смисъла на § 1, т. 21 от допълнителните разпоредби на Наредба № 22 от 14.12.2015 г.) не трябва да са повече от 50%. Те могат да бъдат подпомагани от помощник-оценители.</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7. Оценката за административно съответствие и допустимост се извършва по контролни листа, публикувани в документите, част от условията за кандидатстване. Оценката за административно съответствие и допустимост включва и:</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проверка за липса на двойно финансиране;</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проверка за наличие на изкуствено създадени условия;</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проверка за минимални помощи;</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r>
            <w:proofErr w:type="gramStart"/>
            <w:r w:rsidRPr="00402CBE">
              <w:rPr>
                <w:rFonts w:ascii="Times New Roman" w:hAnsi="Times New Roman" w:cs="Times New Roman"/>
                <w:color w:val="000000"/>
              </w:rPr>
              <w:t>посещения</w:t>
            </w:r>
            <w:proofErr w:type="gramEnd"/>
            <w:r w:rsidRPr="00402CBE">
              <w:rPr>
                <w:rFonts w:ascii="Times New Roman" w:hAnsi="Times New Roman" w:cs="Times New Roman"/>
                <w:color w:val="000000"/>
              </w:rPr>
              <w:t xml:space="preserve"> на място за заявления, включващи разходи за строително-монтажни работи и за създаване на трайни насаждения (когато е приложимо).</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8. Когато при оценката се установи липса на документи и/или друга нередовност, комисията изпраща на кандидата уведомление за установените нередовности и определя срок от една седмица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9. Въз основа на извършената оценка за административното съответствие и допустимост комисията изготвя списък на проектните предложения, които не се допускат до техническа и финансова оценка. В списъка са посочени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Административнопроцесуалния кодекс.</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10. Техническата и финансова оценка на всяко проектно предложение се извършва от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 оценители.</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 11. При оценката на проектните предложения комисията може да изисква допълнителна пояснителна информация от кандидата, като срокът за представянето й е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lastRenderedPageBreak/>
              <w:t xml:space="preserve">12. Окончателната оценка е средно аритметично от оценките на двамата оценители.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13.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14. Окончателната оценка е средно 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 аритметично от оценките на другите двама.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 15. Когато проектно предложение е оценено от двама членове на комисията и едната оценка е под минималната допустима оценка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 аритметично от оценката на третото лице и сходната с неговата по отношение на праговете от първите две оценки.</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16. Оценителната комисия може да извърши корекции в бюджета на проектно предложение, в случай че при оценката е установено: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наличие на недопустими дейности и/или разходи;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несъответствие между предвидените дейности и видовете заложени разходи;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дублиране на разходи;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неспазване на заложените правила или ограничения по отношение на заложени процентни съотношения/прагове на разходите;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r>
            <w:proofErr w:type="gramStart"/>
            <w:r w:rsidRPr="00402CBE">
              <w:rPr>
                <w:rFonts w:ascii="Times New Roman" w:hAnsi="Times New Roman" w:cs="Times New Roman"/>
                <w:color w:val="000000"/>
              </w:rPr>
              <w:t>несъответствие</w:t>
            </w:r>
            <w:proofErr w:type="gramEnd"/>
            <w:r w:rsidRPr="00402CBE">
              <w:rPr>
                <w:rFonts w:ascii="Times New Roman" w:hAnsi="Times New Roman" w:cs="Times New Roman"/>
                <w:color w:val="000000"/>
              </w:rPr>
              <w:t xml:space="preserve"> с правилата за държавните или минималните помощи.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17. Корекциите се извършват след изискване на допълнителна информация от кандидата като срокът за предоставяне е една седмица.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18. Корекциите на бюджета, извършени във връзка с т.16  на проектното предложение не са довели до: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увеличаване на размера или на интензитета на безвъзмездната финансова помощ, предвидени в подаденото проектно предложение;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невъзможност за изпълнение на целите на проекта или на проектните дейности;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r>
            <w:proofErr w:type="gramStart"/>
            <w:r w:rsidRPr="00402CBE">
              <w:rPr>
                <w:rFonts w:ascii="Times New Roman" w:hAnsi="Times New Roman" w:cs="Times New Roman"/>
                <w:color w:val="000000"/>
              </w:rPr>
              <w:t>подобряване</w:t>
            </w:r>
            <w:proofErr w:type="gramEnd"/>
            <w:r w:rsidRPr="00402CBE">
              <w:rPr>
                <w:rFonts w:ascii="Times New Roman" w:hAnsi="Times New Roman" w:cs="Times New Roman"/>
                <w:color w:val="000000"/>
              </w:rPr>
              <w:t xml:space="preserve"> на качеството на проектното предложение и нарушаване на принципите по чл. 29, ал. 1, т. 1 и 2 ЗУСЕСИФ.</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19. Работата на КППП приключва с оценителен доклад до Председателя на УС, който се генерира в ИСУН. Към оценителния доклад се прилагат:</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Списък на резервните проектни предложения, които успешно са преминали оценяването, но за които не стига финансиране, подредени по реда на тяхното класиране;</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Списък на предложените за отхвърляне проектни предложения и основанието за отхвърлянето им;</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Списък на оттеглените по време на оценката проектни предложения.</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20. Оценителният доклад се подписва от председателя, секретаря и от всички членове на комисията.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21. Оценителният доклад по т. 19 се одобрява от УС на МИГ в срок до 5 работни дни от приключването на работата на комисията.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22. Оценителният доклад се изпраща от МИГ чрез ИСУН 2020 до УО на съответната програма и ДФЗ в срок до пет работни дни от одобряването му от УС на МИГ.</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23. МИГ прикачва в ИСУН 2020 всички документи, свързани с процеса на оценка (вкл. и  доклада) и уведомява УО и ДФЗ за това: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разясненията, които са предоставяни на кандидатите преди представянето на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 проектните предложения;</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lastRenderedPageBreak/>
              <w:t>•</w:t>
            </w:r>
            <w:r w:rsidRPr="00402CBE">
              <w:rPr>
                <w:rFonts w:ascii="Times New Roman" w:hAnsi="Times New Roman" w:cs="Times New Roman"/>
                <w:color w:val="000000"/>
              </w:rPr>
              <w:tab/>
              <w:t>кореспонденцията, водена с кандидатите по време на оценителния процес</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кореспонденция с компетентните органи/институции (ако има такава);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протоколи от отделните етапи на оценката, подписани от участвалите в съответния</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t xml:space="preserve"> етап на оценка лица;</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w:t>
            </w:r>
            <w:r w:rsidRPr="00402CBE">
              <w:rPr>
                <w:rFonts w:ascii="Times New Roman" w:hAnsi="Times New Roman" w:cs="Times New Roman"/>
                <w:color w:val="000000"/>
              </w:rPr>
              <w:tab/>
            </w:r>
            <w:proofErr w:type="gramStart"/>
            <w:r w:rsidRPr="00402CBE">
              <w:rPr>
                <w:rFonts w:ascii="Times New Roman" w:hAnsi="Times New Roman" w:cs="Times New Roman"/>
                <w:color w:val="000000"/>
              </w:rPr>
              <w:t>други</w:t>
            </w:r>
            <w:proofErr w:type="gramEnd"/>
            <w:r w:rsidRPr="00402CBE">
              <w:rPr>
                <w:rFonts w:ascii="Times New Roman" w:hAnsi="Times New Roman" w:cs="Times New Roman"/>
                <w:color w:val="000000"/>
              </w:rPr>
              <w:t xml:space="preserve"> документи, ако е приложимо.</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 </w:t>
            </w:r>
          </w:p>
          <w:p w:rsidR="00B33B36" w:rsidRPr="00402CBE" w:rsidRDefault="00371D29">
            <w:pPr>
              <w:pStyle w:val="BodyText"/>
              <w:spacing w:line="276" w:lineRule="exact"/>
              <w:ind w:left="0" w:firstLine="567"/>
              <w:jc w:val="both"/>
              <w:rPr>
                <w:rFonts w:ascii="Times New Roman" w:hAnsi="Times New Roman" w:cs="Times New Roman"/>
                <w:color w:val="000000"/>
              </w:rPr>
            </w:pPr>
            <w:r w:rsidRPr="00402CBE">
              <w:rPr>
                <w:rFonts w:ascii="Times New Roman" w:hAnsi="Times New Roman" w:cs="Times New Roman"/>
                <w:color w:val="000000"/>
              </w:rPr>
              <w:t xml:space="preserve">24.  МИГ уведомява кандидатите, чиито проектни предложения не са одобрени или са одобрени частично, в срок до 5 работни дни от одобряването на оценителния доклад от УС </w:t>
            </w:r>
            <w:proofErr w:type="gramStart"/>
            <w:r w:rsidRPr="00402CBE">
              <w:rPr>
                <w:rFonts w:ascii="Times New Roman" w:hAnsi="Times New Roman" w:cs="Times New Roman"/>
                <w:color w:val="000000"/>
              </w:rPr>
              <w:t>на  МИГ</w:t>
            </w:r>
            <w:proofErr w:type="gramEnd"/>
            <w:r w:rsidRPr="00402CBE">
              <w:rPr>
                <w:rFonts w:ascii="Times New Roman" w:hAnsi="Times New Roman" w:cs="Times New Roman"/>
                <w:color w:val="000000"/>
              </w:rPr>
              <w:t>.</w:t>
            </w:r>
          </w:p>
          <w:p w:rsidR="00B33B36" w:rsidRPr="00402CBE" w:rsidRDefault="00371D29">
            <w:pPr>
              <w:pStyle w:val="BodyText"/>
              <w:spacing w:line="276" w:lineRule="exact"/>
              <w:ind w:left="0" w:firstLine="567"/>
              <w:jc w:val="both"/>
              <w:rPr>
                <w:rFonts w:ascii="Times New Roman" w:hAnsi="Times New Roman" w:cs="Times New Roman"/>
                <w:color w:val="000000"/>
                <w:lang w:val="bg-BG"/>
              </w:rPr>
            </w:pPr>
            <w:r w:rsidRPr="00402CBE">
              <w:rPr>
                <w:rFonts w:ascii="Times New Roman" w:hAnsi="Times New Roman" w:cs="Times New Roman"/>
                <w:color w:val="000000"/>
              </w:rPr>
              <w:t xml:space="preserve">25.  Всеки кандидат, получил уведомително писмо от МИГ, че проектното му предложение не е одобрено или че е частично одобрено, има право да възрази пред УО/ДФЗ в срок до 3 работни </w:t>
            </w:r>
            <w:proofErr w:type="gramStart"/>
            <w:r w:rsidRPr="00402CBE">
              <w:rPr>
                <w:rFonts w:ascii="Times New Roman" w:hAnsi="Times New Roman" w:cs="Times New Roman"/>
                <w:color w:val="000000"/>
              </w:rPr>
              <w:t>дни  от</w:t>
            </w:r>
            <w:proofErr w:type="gramEnd"/>
            <w:r w:rsidRPr="00402CBE">
              <w:rPr>
                <w:rFonts w:ascii="Times New Roman" w:hAnsi="Times New Roman" w:cs="Times New Roman"/>
                <w:color w:val="000000"/>
              </w:rPr>
              <w:t xml:space="preserve"> датата на получаването на уведомлението.</w:t>
            </w:r>
          </w:p>
          <w:p w:rsidR="00402CBE" w:rsidRPr="00402CBE" w:rsidRDefault="00402CBE">
            <w:pPr>
              <w:pStyle w:val="BodyText"/>
              <w:spacing w:line="276" w:lineRule="exact"/>
              <w:ind w:left="0" w:firstLine="567"/>
              <w:jc w:val="both"/>
              <w:rPr>
                <w:rFonts w:ascii="Times New Roman" w:hAnsi="Times New Roman" w:cs="Times New Roman"/>
                <w:color w:val="000000"/>
                <w:lang w:val="bg-BG"/>
              </w:rPr>
            </w:pPr>
            <w:r w:rsidRPr="00402CBE">
              <w:rPr>
                <w:rFonts w:ascii="Times New Roman" w:hAnsi="Times New Roman" w:cs="Times New Roman"/>
                <w:color w:val="000000"/>
                <w:lang w:val="bg-BG"/>
              </w:rPr>
              <w:t xml:space="preserve">26. </w:t>
            </w:r>
            <w:r w:rsidRPr="00402CBE">
              <w:rPr>
                <w:rFonts w:ascii="Times New Roman" w:hAnsi="Times New Roman" w:cs="Times New Roman"/>
                <w:shd w:val="clear" w:color="auto" w:fill="FDFDFD"/>
              </w:rPr>
              <w:t>Кандидат в процедура може да иска разяснения в срок до три седмици преди изтичането на срока за кандидатстване. Разясненията се утвърждават от ръководителя на управляващия орган, съответно от ръководителя на управляващия орган на водещата програма,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tc>
      </w:tr>
    </w:tbl>
    <w:p w:rsidR="00B33B36" w:rsidRDefault="00B33B36">
      <w:pPr>
        <w:pStyle w:val="Heading1"/>
        <w:numPr>
          <w:ilvl w:val="0"/>
          <w:numId w:val="0"/>
        </w:numPr>
        <w:ind w:left="992"/>
        <w:rPr>
          <w:rFonts w:ascii="Times New Roman" w:hAnsi="Times New Roman" w:cs="Times New Roman"/>
        </w:rPr>
      </w:pPr>
      <w:bookmarkStart w:id="21" w:name="_Toc491427464"/>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Критерии и методика за оценка на проектните предложения:</w:t>
      </w:r>
      <w:bookmarkEnd w:id="21"/>
    </w:p>
    <w:tbl>
      <w:tblPr>
        <w:tblStyle w:val="TableGrid"/>
        <w:tblW w:w="0" w:type="auto"/>
        <w:tblLook w:val="04A0" w:firstRow="1" w:lastRow="0" w:firstColumn="1" w:lastColumn="0" w:noHBand="0" w:noVBand="1"/>
      </w:tblPr>
      <w:tblGrid>
        <w:gridCol w:w="9770"/>
      </w:tblGrid>
      <w:tr w:rsidR="00B33B36">
        <w:tc>
          <w:tcPr>
            <w:tcW w:w="9770" w:type="dxa"/>
          </w:tcPr>
          <w:p w:rsidR="00B33B36" w:rsidRDefault="00B33B36">
            <w:pPr>
              <w:ind w:firstLine="426"/>
              <w:jc w:val="both"/>
              <w:rPr>
                <w:rFonts w:ascii="Times New Roman" w:hAnsi="Times New Roman" w:cs="Times New Roman"/>
                <w:sz w:val="24"/>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7620"/>
              <w:gridCol w:w="960"/>
            </w:tblGrid>
            <w:tr w:rsidR="00B33B36">
              <w:trPr>
                <w:trHeight w:val="630"/>
              </w:trPr>
              <w:tc>
                <w:tcPr>
                  <w:tcW w:w="580" w:type="dxa"/>
                  <w:shd w:val="clear" w:color="auto" w:fill="auto"/>
                </w:tcPr>
                <w:p w:rsidR="00B33B36" w:rsidRDefault="00371D29">
                  <w:pPr>
                    <w:jc w:val="right"/>
                    <w:rPr>
                      <w:b/>
                      <w:bCs/>
                      <w:color w:val="000000"/>
                      <w:sz w:val="24"/>
                      <w:szCs w:val="24"/>
                    </w:rPr>
                  </w:pPr>
                  <w:r>
                    <w:rPr>
                      <w:b/>
                      <w:bCs/>
                      <w:color w:val="000000"/>
                      <w:sz w:val="24"/>
                      <w:szCs w:val="24"/>
                    </w:rPr>
                    <w:t>1</w:t>
                  </w:r>
                </w:p>
              </w:tc>
              <w:tc>
                <w:tcPr>
                  <w:tcW w:w="7620" w:type="dxa"/>
                  <w:shd w:val="clear" w:color="auto" w:fill="auto"/>
                </w:tcPr>
                <w:p w:rsidR="00B33B36" w:rsidRDefault="00371D29">
                  <w:pPr>
                    <w:rPr>
                      <w:b/>
                      <w:bCs/>
                      <w:color w:val="000000"/>
                      <w:sz w:val="24"/>
                      <w:szCs w:val="24"/>
                    </w:rPr>
                  </w:pPr>
                  <w:r>
                    <w:rPr>
                      <w:bCs/>
                      <w:color w:val="000000"/>
                      <w:sz w:val="24"/>
                      <w:szCs w:val="24"/>
                    </w:rPr>
                    <w:t xml:space="preserve">Проектът е за изграждане и/или реконструкция на инфраструктура в населено място извън общинския център; </w:t>
                  </w:r>
                </w:p>
              </w:tc>
              <w:tc>
                <w:tcPr>
                  <w:tcW w:w="960" w:type="dxa"/>
                  <w:shd w:val="clear" w:color="auto" w:fill="auto"/>
                </w:tcPr>
                <w:p w:rsidR="00B33B36" w:rsidRDefault="00371D29">
                  <w:pPr>
                    <w:jc w:val="right"/>
                    <w:rPr>
                      <w:b/>
                      <w:bCs/>
                      <w:color w:val="000000"/>
                      <w:sz w:val="24"/>
                      <w:szCs w:val="24"/>
                    </w:rPr>
                  </w:pPr>
                  <w:r>
                    <w:rPr>
                      <w:bCs/>
                      <w:color w:val="000000"/>
                      <w:sz w:val="24"/>
                      <w:szCs w:val="24"/>
                    </w:rPr>
                    <w:t>30</w:t>
                  </w:r>
                </w:p>
              </w:tc>
            </w:tr>
            <w:tr w:rsidR="00B33B36">
              <w:trPr>
                <w:trHeight w:val="945"/>
              </w:trPr>
              <w:tc>
                <w:tcPr>
                  <w:tcW w:w="580" w:type="dxa"/>
                  <w:shd w:val="clear" w:color="auto" w:fill="auto"/>
                </w:tcPr>
                <w:p w:rsidR="00B33B36" w:rsidRDefault="00371D29">
                  <w:pPr>
                    <w:jc w:val="right"/>
                    <w:rPr>
                      <w:b/>
                      <w:bCs/>
                      <w:color w:val="000000"/>
                      <w:sz w:val="24"/>
                      <w:szCs w:val="24"/>
                    </w:rPr>
                  </w:pPr>
                  <w:r>
                    <w:rPr>
                      <w:b/>
                      <w:bCs/>
                      <w:color w:val="000000"/>
                      <w:sz w:val="24"/>
                      <w:szCs w:val="24"/>
                    </w:rPr>
                    <w:t>2</w:t>
                  </w:r>
                </w:p>
              </w:tc>
              <w:tc>
                <w:tcPr>
                  <w:tcW w:w="7620" w:type="dxa"/>
                  <w:shd w:val="clear" w:color="auto" w:fill="auto"/>
                </w:tcPr>
                <w:p w:rsidR="00B33B36" w:rsidRDefault="00371D29">
                  <w:pPr>
                    <w:rPr>
                      <w:color w:val="000000"/>
                      <w:sz w:val="24"/>
                      <w:szCs w:val="24"/>
                    </w:rPr>
                  </w:pPr>
                  <w:r>
                    <w:rPr>
                      <w:color w:val="000000"/>
                      <w:sz w:val="24"/>
                      <w:szCs w:val="24"/>
                    </w:rPr>
                    <w:t>Проектът е за изграждане и/или реконструкция на инфраструктура, обслужваща населени места с високо ниво на безработица - над средното за общината, където ще се реализира проектът;</w:t>
                  </w:r>
                </w:p>
              </w:tc>
              <w:tc>
                <w:tcPr>
                  <w:tcW w:w="960" w:type="dxa"/>
                  <w:shd w:val="clear" w:color="auto" w:fill="auto"/>
                </w:tcPr>
                <w:p w:rsidR="00B33B36" w:rsidRDefault="00371D29">
                  <w:pPr>
                    <w:jc w:val="right"/>
                    <w:rPr>
                      <w:color w:val="000000"/>
                      <w:sz w:val="24"/>
                      <w:szCs w:val="24"/>
                    </w:rPr>
                  </w:pPr>
                  <w:r>
                    <w:rPr>
                      <w:color w:val="000000"/>
                      <w:sz w:val="24"/>
                      <w:szCs w:val="24"/>
                    </w:rPr>
                    <w:t>20</w:t>
                  </w:r>
                </w:p>
              </w:tc>
            </w:tr>
            <w:tr w:rsidR="00B33B36">
              <w:trPr>
                <w:trHeight w:val="630"/>
              </w:trPr>
              <w:tc>
                <w:tcPr>
                  <w:tcW w:w="580" w:type="dxa"/>
                  <w:shd w:val="clear" w:color="auto" w:fill="auto"/>
                </w:tcPr>
                <w:p w:rsidR="00B33B36" w:rsidRDefault="00371D29">
                  <w:pPr>
                    <w:jc w:val="right"/>
                    <w:rPr>
                      <w:b/>
                      <w:bCs/>
                      <w:color w:val="000000"/>
                      <w:sz w:val="24"/>
                      <w:szCs w:val="24"/>
                    </w:rPr>
                  </w:pPr>
                  <w:r>
                    <w:rPr>
                      <w:b/>
                      <w:bCs/>
                      <w:color w:val="000000"/>
                      <w:sz w:val="24"/>
                      <w:szCs w:val="24"/>
                    </w:rPr>
                    <w:t>3</w:t>
                  </w:r>
                </w:p>
              </w:tc>
              <w:tc>
                <w:tcPr>
                  <w:tcW w:w="7620" w:type="dxa"/>
                  <w:shd w:val="clear" w:color="auto" w:fill="auto"/>
                </w:tcPr>
                <w:p w:rsidR="00B33B36" w:rsidRDefault="00371D29">
                  <w:pPr>
                    <w:rPr>
                      <w:color w:val="000000"/>
                      <w:sz w:val="24"/>
                      <w:szCs w:val="24"/>
                    </w:rPr>
                  </w:pPr>
                  <w:r>
                    <w:rPr>
                      <w:color w:val="000000"/>
                      <w:sz w:val="24"/>
                      <w:szCs w:val="24"/>
                    </w:rPr>
                    <w:t>Брой население (над 100 жители) , което ще се възползва от подобрените основни услуги и обхвата на териториално въздействие.</w:t>
                  </w:r>
                </w:p>
              </w:tc>
              <w:tc>
                <w:tcPr>
                  <w:tcW w:w="960" w:type="dxa"/>
                  <w:shd w:val="clear" w:color="auto" w:fill="auto"/>
                </w:tcPr>
                <w:p w:rsidR="00B33B36" w:rsidRDefault="00371D29">
                  <w:pPr>
                    <w:jc w:val="right"/>
                    <w:rPr>
                      <w:color w:val="000000"/>
                      <w:sz w:val="24"/>
                      <w:szCs w:val="24"/>
                    </w:rPr>
                  </w:pPr>
                  <w:r>
                    <w:rPr>
                      <w:color w:val="000000"/>
                      <w:sz w:val="24"/>
                      <w:szCs w:val="24"/>
                    </w:rPr>
                    <w:t>30</w:t>
                  </w:r>
                </w:p>
              </w:tc>
            </w:tr>
            <w:tr w:rsidR="00B33B36">
              <w:trPr>
                <w:trHeight w:val="630"/>
              </w:trPr>
              <w:tc>
                <w:tcPr>
                  <w:tcW w:w="580" w:type="dxa"/>
                  <w:shd w:val="clear" w:color="auto" w:fill="auto"/>
                </w:tcPr>
                <w:p w:rsidR="00B33B36" w:rsidRDefault="00371D29">
                  <w:pPr>
                    <w:jc w:val="right"/>
                    <w:rPr>
                      <w:b/>
                      <w:bCs/>
                      <w:color w:val="000000"/>
                      <w:sz w:val="24"/>
                      <w:szCs w:val="24"/>
                    </w:rPr>
                  </w:pPr>
                  <w:r>
                    <w:rPr>
                      <w:b/>
                      <w:bCs/>
                      <w:color w:val="000000"/>
                      <w:sz w:val="24"/>
                      <w:szCs w:val="24"/>
                    </w:rPr>
                    <w:t>4</w:t>
                  </w:r>
                </w:p>
              </w:tc>
              <w:tc>
                <w:tcPr>
                  <w:tcW w:w="7620" w:type="dxa"/>
                  <w:shd w:val="clear" w:color="auto" w:fill="auto"/>
                </w:tcPr>
                <w:p w:rsidR="00B33B36" w:rsidRDefault="00371D29">
                  <w:pPr>
                    <w:rPr>
                      <w:color w:val="000000"/>
                      <w:sz w:val="24"/>
                      <w:szCs w:val="24"/>
                    </w:rPr>
                  </w:pPr>
                  <w:r>
                    <w:rPr>
                      <w:color w:val="000000"/>
                      <w:sz w:val="24"/>
                      <w:szCs w:val="24"/>
                    </w:rPr>
                    <w:t>Проектът въвежда иновативни технологии или инвестиции с екологичен ефект.</w:t>
                  </w:r>
                </w:p>
              </w:tc>
              <w:tc>
                <w:tcPr>
                  <w:tcW w:w="960" w:type="dxa"/>
                  <w:shd w:val="clear" w:color="auto" w:fill="auto"/>
                </w:tcPr>
                <w:p w:rsidR="00B33B36" w:rsidRDefault="00371D29">
                  <w:pPr>
                    <w:jc w:val="right"/>
                    <w:rPr>
                      <w:color w:val="000000"/>
                      <w:sz w:val="24"/>
                      <w:szCs w:val="24"/>
                    </w:rPr>
                  </w:pPr>
                  <w:r>
                    <w:rPr>
                      <w:color w:val="000000"/>
                      <w:sz w:val="24"/>
                      <w:szCs w:val="24"/>
                    </w:rPr>
                    <w:t>10</w:t>
                  </w:r>
                </w:p>
              </w:tc>
            </w:tr>
            <w:tr w:rsidR="00B33B36">
              <w:trPr>
                <w:trHeight w:val="630"/>
              </w:trPr>
              <w:tc>
                <w:tcPr>
                  <w:tcW w:w="580" w:type="dxa"/>
                  <w:shd w:val="clear" w:color="auto" w:fill="auto"/>
                </w:tcPr>
                <w:p w:rsidR="00B33B36" w:rsidRDefault="00371D29">
                  <w:pPr>
                    <w:jc w:val="right"/>
                    <w:rPr>
                      <w:b/>
                      <w:bCs/>
                      <w:color w:val="000000"/>
                      <w:sz w:val="24"/>
                      <w:szCs w:val="24"/>
                    </w:rPr>
                  </w:pPr>
                  <w:r>
                    <w:rPr>
                      <w:b/>
                      <w:bCs/>
                      <w:color w:val="000000"/>
                      <w:sz w:val="24"/>
                      <w:szCs w:val="24"/>
                    </w:rPr>
                    <w:t>5</w:t>
                  </w:r>
                </w:p>
              </w:tc>
              <w:tc>
                <w:tcPr>
                  <w:tcW w:w="7620" w:type="dxa"/>
                  <w:shd w:val="clear" w:color="auto" w:fill="auto"/>
                </w:tcPr>
                <w:p w:rsidR="00B33B36" w:rsidRDefault="00371D29">
                  <w:pPr>
                    <w:rPr>
                      <w:color w:val="000000"/>
                      <w:sz w:val="24"/>
                      <w:szCs w:val="24"/>
                    </w:rPr>
                  </w:pPr>
                  <w:r>
                    <w:rPr>
                      <w:color w:val="000000"/>
                      <w:sz w:val="24"/>
                      <w:szCs w:val="24"/>
                    </w:rPr>
                    <w:t>Проектът е за изграждане реконструкция, ремонт, оборудване и/или обзавеждане на инфраструктура за социални услуги за деца;</w:t>
                  </w:r>
                </w:p>
              </w:tc>
              <w:tc>
                <w:tcPr>
                  <w:tcW w:w="960" w:type="dxa"/>
                  <w:shd w:val="clear" w:color="auto" w:fill="auto"/>
                </w:tcPr>
                <w:p w:rsidR="00B33B36" w:rsidRDefault="00371D29">
                  <w:pPr>
                    <w:jc w:val="right"/>
                    <w:rPr>
                      <w:color w:val="000000"/>
                      <w:sz w:val="24"/>
                      <w:szCs w:val="24"/>
                    </w:rPr>
                  </w:pPr>
                  <w:r>
                    <w:rPr>
                      <w:color w:val="000000"/>
                      <w:sz w:val="24"/>
                      <w:szCs w:val="24"/>
                    </w:rPr>
                    <w:t>10</w:t>
                  </w:r>
                </w:p>
              </w:tc>
            </w:tr>
            <w:tr w:rsidR="00B33B36">
              <w:trPr>
                <w:trHeight w:val="315"/>
              </w:trPr>
              <w:tc>
                <w:tcPr>
                  <w:tcW w:w="580" w:type="dxa"/>
                  <w:shd w:val="clear" w:color="auto" w:fill="auto"/>
                </w:tcPr>
                <w:p w:rsidR="00B33B36" w:rsidRDefault="00371D29">
                  <w:pPr>
                    <w:rPr>
                      <w:b/>
                      <w:bCs/>
                      <w:color w:val="000000"/>
                      <w:sz w:val="24"/>
                      <w:szCs w:val="24"/>
                    </w:rPr>
                  </w:pPr>
                  <w:r>
                    <w:rPr>
                      <w:b/>
                      <w:bCs/>
                      <w:color w:val="000000"/>
                      <w:sz w:val="24"/>
                      <w:szCs w:val="24"/>
                    </w:rPr>
                    <w:t> </w:t>
                  </w:r>
                </w:p>
              </w:tc>
              <w:tc>
                <w:tcPr>
                  <w:tcW w:w="7620" w:type="dxa"/>
                  <w:shd w:val="clear" w:color="auto" w:fill="auto"/>
                </w:tcPr>
                <w:p w:rsidR="00B33B36" w:rsidRDefault="00371D29">
                  <w:pPr>
                    <w:rPr>
                      <w:b/>
                      <w:bCs/>
                      <w:color w:val="000000"/>
                      <w:sz w:val="24"/>
                      <w:szCs w:val="24"/>
                    </w:rPr>
                  </w:pPr>
                  <w:r>
                    <w:rPr>
                      <w:b/>
                      <w:bCs/>
                      <w:color w:val="000000"/>
                      <w:sz w:val="24"/>
                      <w:szCs w:val="24"/>
                    </w:rPr>
                    <w:t>Общо</w:t>
                  </w:r>
                </w:p>
              </w:tc>
              <w:tc>
                <w:tcPr>
                  <w:tcW w:w="960" w:type="dxa"/>
                  <w:shd w:val="clear" w:color="auto" w:fill="auto"/>
                </w:tcPr>
                <w:p w:rsidR="00B33B36" w:rsidRDefault="00371D29">
                  <w:pPr>
                    <w:jc w:val="right"/>
                    <w:rPr>
                      <w:b/>
                      <w:bCs/>
                      <w:color w:val="000000"/>
                      <w:sz w:val="24"/>
                      <w:szCs w:val="24"/>
                    </w:rPr>
                  </w:pPr>
                  <w:r>
                    <w:rPr>
                      <w:b/>
                      <w:bCs/>
                      <w:color w:val="000000"/>
                      <w:sz w:val="24"/>
                      <w:szCs w:val="24"/>
                    </w:rPr>
                    <w:t>100 т.</w:t>
                  </w:r>
                </w:p>
              </w:tc>
            </w:tr>
            <w:tr w:rsidR="00B33B36">
              <w:trPr>
                <w:trHeight w:val="315"/>
              </w:trPr>
              <w:tc>
                <w:tcPr>
                  <w:tcW w:w="580" w:type="dxa"/>
                  <w:shd w:val="clear" w:color="auto" w:fill="auto"/>
                </w:tcPr>
                <w:p w:rsidR="00B33B36" w:rsidRDefault="00B33B36">
                  <w:pPr>
                    <w:rPr>
                      <w:b/>
                      <w:bCs/>
                      <w:color w:val="000000"/>
                      <w:sz w:val="24"/>
                      <w:szCs w:val="24"/>
                    </w:rPr>
                  </w:pPr>
                </w:p>
              </w:tc>
              <w:tc>
                <w:tcPr>
                  <w:tcW w:w="7620" w:type="dxa"/>
                  <w:shd w:val="clear" w:color="auto" w:fill="auto"/>
                </w:tcPr>
                <w:p w:rsidR="00C14326" w:rsidRDefault="00C14326">
                  <w:pPr>
                    <w:rPr>
                      <w:b/>
                      <w:bCs/>
                      <w:color w:val="000000"/>
                      <w:sz w:val="24"/>
                      <w:szCs w:val="24"/>
                      <w:lang w:val="en-US"/>
                    </w:rPr>
                  </w:pPr>
                </w:p>
                <w:p w:rsidR="00B33B36" w:rsidRDefault="00371D29">
                  <w:pPr>
                    <w:rPr>
                      <w:b/>
                      <w:bCs/>
                      <w:color w:val="000000"/>
                      <w:sz w:val="24"/>
                      <w:szCs w:val="24"/>
                    </w:rPr>
                  </w:pPr>
                  <w:r>
                    <w:rPr>
                      <w:b/>
                      <w:bCs/>
                      <w:color w:val="000000"/>
                      <w:sz w:val="24"/>
                      <w:szCs w:val="24"/>
                    </w:rPr>
                    <w:t>Минимален брой точки, при който проектното предложение може да се одобри</w:t>
                  </w:r>
                </w:p>
              </w:tc>
              <w:tc>
                <w:tcPr>
                  <w:tcW w:w="960" w:type="dxa"/>
                  <w:shd w:val="clear" w:color="auto" w:fill="auto"/>
                </w:tcPr>
                <w:p w:rsidR="00C14326" w:rsidRDefault="00C14326">
                  <w:pPr>
                    <w:jc w:val="right"/>
                    <w:rPr>
                      <w:b/>
                      <w:bCs/>
                      <w:color w:val="000000"/>
                      <w:sz w:val="24"/>
                      <w:szCs w:val="24"/>
                      <w:lang w:val="en-US"/>
                    </w:rPr>
                  </w:pPr>
                </w:p>
                <w:p w:rsidR="00B33B36" w:rsidRDefault="005F45D7">
                  <w:pPr>
                    <w:jc w:val="right"/>
                    <w:rPr>
                      <w:b/>
                      <w:bCs/>
                      <w:color w:val="000000"/>
                      <w:sz w:val="24"/>
                      <w:szCs w:val="24"/>
                    </w:rPr>
                  </w:pPr>
                  <w:r>
                    <w:rPr>
                      <w:b/>
                      <w:bCs/>
                      <w:color w:val="000000"/>
                      <w:sz w:val="24"/>
                      <w:szCs w:val="24"/>
                      <w:lang w:val="en-US"/>
                    </w:rPr>
                    <w:t>1</w:t>
                  </w:r>
                  <w:r w:rsidR="00371D29">
                    <w:rPr>
                      <w:b/>
                      <w:bCs/>
                      <w:color w:val="000000"/>
                      <w:sz w:val="24"/>
                      <w:szCs w:val="24"/>
                    </w:rPr>
                    <w:t>0 т.</w:t>
                  </w:r>
                </w:p>
              </w:tc>
            </w:tr>
          </w:tbl>
          <w:p w:rsidR="00B33B36" w:rsidRDefault="00B33B36">
            <w:pPr>
              <w:ind w:firstLine="426"/>
              <w:jc w:val="both"/>
              <w:rPr>
                <w:rFonts w:ascii="Times New Roman" w:hAnsi="Times New Roman" w:cs="Times New Roman"/>
                <w:sz w:val="24"/>
                <w:szCs w:val="24"/>
              </w:rPr>
            </w:pPr>
          </w:p>
          <w:p w:rsidR="00B33B36" w:rsidRDefault="00B33B36">
            <w:pPr>
              <w:jc w:val="both"/>
              <w:rPr>
                <w:rFonts w:ascii="Times New Roman" w:hAnsi="Times New Roman" w:cs="Times New Roman"/>
                <w:b/>
                <w:i/>
                <w:color w:val="000000" w:themeColor="text1"/>
                <w:sz w:val="24"/>
                <w:szCs w:val="24"/>
              </w:rPr>
            </w:pPr>
          </w:p>
        </w:tc>
      </w:tr>
    </w:tbl>
    <w:p w:rsidR="00B66ED3" w:rsidRPr="00E71F7E" w:rsidRDefault="00B66ED3" w:rsidP="00B66ED3">
      <w:pPr>
        <w:tabs>
          <w:tab w:val="left" w:pos="284"/>
        </w:tabs>
        <w:jc w:val="both"/>
        <w:rPr>
          <w:sz w:val="24"/>
          <w:szCs w:val="24"/>
        </w:rPr>
      </w:pPr>
      <w:bookmarkStart w:id="22" w:name="_Toc491427465"/>
      <w:r w:rsidRPr="00B66ED3">
        <w:rPr>
          <w:b/>
          <w:sz w:val="24"/>
          <w:szCs w:val="24"/>
        </w:rPr>
        <w:tab/>
      </w:r>
    </w:p>
    <w:p w:rsidR="00B33B36" w:rsidRDefault="00B33B36">
      <w:pPr>
        <w:pStyle w:val="Heading1"/>
        <w:numPr>
          <w:ilvl w:val="0"/>
          <w:numId w:val="0"/>
        </w:numPr>
        <w:ind w:left="992"/>
        <w:rPr>
          <w:rFonts w:ascii="Times New Roman" w:hAnsi="Times New Roman" w:cs="Times New Roman"/>
        </w:rPr>
      </w:pPr>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Начин на подаване на проектните предложения/концепциите за проектни предложения:</w:t>
      </w:r>
      <w:bookmarkEnd w:id="22"/>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ind w:firstLine="426"/>
              <w:jc w:val="both"/>
              <w:rPr>
                <w:rFonts w:ascii="Times New Roman" w:hAnsi="Times New Roman" w:cs="Times New Roman"/>
                <w:sz w:val="24"/>
                <w:szCs w:val="24"/>
              </w:rPr>
            </w:pPr>
            <w:bookmarkStart w:id="23" w:name="_Toc491427466"/>
            <w:r>
              <w:rPr>
                <w:rFonts w:ascii="Times New Roman" w:hAnsi="Times New Roman" w:cs="Times New Roman"/>
                <w:sz w:val="24"/>
                <w:szCs w:val="24"/>
              </w:rPr>
              <w:t xml:space="preserve">Подаването на проектни предложения се извършва по електронен път в Интегрираната система за управление и наблюдение (ИСУН) на адрес </w:t>
            </w:r>
            <w:hyperlink r:id="rId17" w:history="1">
              <w:r>
                <w:rPr>
                  <w:rFonts w:ascii="Times New Roman" w:hAnsi="Times New Roman" w:cs="Times New Roman"/>
                  <w:sz w:val="24"/>
                  <w:szCs w:val="24"/>
                </w:rPr>
                <w:t>http://eumis2020.government.bg</w:t>
              </w:r>
            </w:hyperlink>
            <w:r>
              <w:rPr>
                <w:rFonts w:ascii="Times New Roman" w:hAnsi="Times New Roman" w:cs="Times New Roman"/>
                <w:sz w:val="24"/>
                <w:szCs w:val="24"/>
              </w:rPr>
              <w:t xml:space="preserve"> чрез </w:t>
            </w:r>
            <w:r>
              <w:rPr>
                <w:rFonts w:ascii="Times New Roman" w:hAnsi="Times New Roman" w:cs="Times New Roman"/>
                <w:sz w:val="24"/>
                <w:szCs w:val="24"/>
              </w:rPr>
              <w:lastRenderedPageBreak/>
              <w:t>подаване на формуляр за кандидатстване.</w:t>
            </w:r>
          </w:p>
          <w:p w:rsidR="00B33B36" w:rsidRDefault="00371D29">
            <w:pPr>
              <w:ind w:firstLine="426"/>
              <w:jc w:val="both"/>
              <w:rPr>
                <w:rFonts w:ascii="Times New Roman" w:hAnsi="Times New Roman" w:cs="Times New Roman"/>
                <w:sz w:val="23"/>
                <w:szCs w:val="23"/>
              </w:rPr>
            </w:pPr>
            <w:r>
              <w:rPr>
                <w:rFonts w:ascii="Times New Roman" w:hAnsi="Times New Roman" w:cs="Times New Roman"/>
                <w:sz w:val="23"/>
                <w:szCs w:val="23"/>
              </w:rPr>
              <w:t xml:space="preserve">Документите се подават във формат .pdf и всеки друг, указан в раздел 24 от указанията. </w:t>
            </w:r>
          </w:p>
          <w:p w:rsidR="00B33B36" w:rsidRDefault="00371D29">
            <w:pPr>
              <w:ind w:firstLine="426"/>
              <w:jc w:val="both"/>
              <w:rPr>
                <w:rFonts w:ascii="Times New Roman" w:hAnsi="Times New Roman" w:cs="Times New Roman"/>
                <w:sz w:val="24"/>
              </w:rPr>
            </w:pPr>
            <w:r>
              <w:rPr>
                <w:rFonts w:ascii="Times New Roman" w:hAnsi="Times New Roman" w:cs="Times New Roman"/>
                <w:sz w:val="24"/>
              </w:rPr>
              <w:t>Кандидатът влиза в ИСУН 2020, след регистрация чрез е-мейл адрес и парола, избира настоящата процедура за кандидатстване от „Отворени процедури“ и създава ново проектно предложение. Документите от раздел 24 на настоящите указания се прикачат в раздел 11 „Прикачени електронно подписани документи“ на формуляра за кандидатстване във формат .pdf, и допълнително в изрично упоменат формат.</w:t>
            </w:r>
          </w:p>
          <w:p w:rsidR="00B33B36" w:rsidRDefault="00371D29">
            <w:pPr>
              <w:ind w:firstLine="426"/>
              <w:jc w:val="both"/>
              <w:rPr>
                <w:rFonts w:ascii="Times New Roman" w:hAnsi="Times New Roman" w:cs="Times New Roman"/>
                <w:sz w:val="24"/>
              </w:rPr>
            </w:pPr>
            <w:r>
              <w:rPr>
                <w:rFonts w:ascii="Times New Roman" w:hAnsi="Times New Roman" w:cs="Times New Roman"/>
                <w:sz w:val="24"/>
              </w:rPr>
              <w:t>Лицето, представляващо кандидата, подписва с квалифициран електронен подпис (КЕП),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 – кандидат, като автор на подписа в този случай следва да е законен представител на предприятието – кандидат.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p>
          <w:p w:rsidR="00B33B36" w:rsidRDefault="00371D29">
            <w:pPr>
              <w:ind w:firstLine="426"/>
              <w:jc w:val="both"/>
              <w:rPr>
                <w:rFonts w:ascii="Times New Roman" w:hAnsi="Times New Roman" w:cs="Times New Roman"/>
                <w:sz w:val="24"/>
              </w:rPr>
            </w:pPr>
            <w:r>
              <w:rPr>
                <w:rFonts w:ascii="Times New Roman" w:hAnsi="Times New Roman" w:cs="Times New Roman"/>
                <w:sz w:val="24"/>
              </w:rPr>
              <w:t>Формулярът за кандидатстване се подава от профила на кандидата, тъй като впоследствие този профил ще бъде използван за комуникация с Комисията за избор и за отстраняване на липса на документи и/или неяснота или неточност по време на оценката. По време на оценката на формуляра за кандидастване комуникацията с кандидата и редакцията на забелязани липси на документи и/или неясноти, или неточности ще се извършва електронно чрез профила на кандидата в ИСУН 2020, от който е подадено съответното проектно предложение и промени на посочения профил (вкл. промяна на имейл адреса, асоцииран към съответния профил) са недопустими.</w:t>
            </w:r>
          </w:p>
          <w:p w:rsidR="00B33B36" w:rsidRDefault="00371D29">
            <w:pPr>
              <w:ind w:firstLine="426"/>
              <w:jc w:val="both"/>
              <w:rPr>
                <w:rFonts w:ascii="Times New Roman" w:hAnsi="Times New Roman" w:cs="Times New Roman"/>
                <w:sz w:val="24"/>
              </w:rPr>
            </w:pPr>
            <w:r>
              <w:rPr>
                <w:rFonts w:ascii="Times New Roman" w:hAnsi="Times New Roman" w:cs="Times New Roman"/>
                <w:sz w:val="24"/>
              </w:rPr>
              <w:t>Документите, приложени към формуляра за кандидатстване, както и тези, представени от кандидатите/бенефициентите в резултат на допълнително искане от Комисията за подбор на проектни предложения (КПП) на МИГ и от РА,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w:t>
            </w:r>
          </w:p>
          <w:p w:rsidR="00B33B36" w:rsidRDefault="00371D29">
            <w:pPr>
              <w:ind w:firstLine="426"/>
              <w:jc w:val="both"/>
              <w:rPr>
                <w:rFonts w:ascii="Times New Roman" w:hAnsi="Times New Roman" w:cs="Times New Roman"/>
                <w:sz w:val="24"/>
              </w:rPr>
            </w:pPr>
            <w:r>
              <w:rPr>
                <w:rFonts w:ascii="Times New Roman" w:hAnsi="Times New Roman" w:cs="Times New Roman"/>
                <w:sz w:val="24"/>
              </w:rPr>
              <w:t>До приключването на работата на Комисията за избор кандидатът има възможност да оттегли своя формуляр за кандидатстване като подаде писмено искане в Комисията, като това обстоятелство се отбелязва от потребител на ИСУН 2020 от Комисията за избор със съответните права.</w:t>
            </w:r>
          </w:p>
        </w:tc>
      </w:tr>
    </w:tbl>
    <w:p w:rsidR="00B33B36" w:rsidRDefault="00B33B36">
      <w:pPr>
        <w:pStyle w:val="Heading1"/>
        <w:numPr>
          <w:ilvl w:val="0"/>
          <w:numId w:val="0"/>
        </w:numPr>
        <w:ind w:left="992"/>
        <w:rPr>
          <w:rFonts w:ascii="Times New Roman" w:hAnsi="Times New Roman" w:cs="Times New Roman"/>
        </w:rPr>
      </w:pPr>
    </w:p>
    <w:p w:rsidR="00B33B36" w:rsidRDefault="00371D29">
      <w:pPr>
        <w:pStyle w:val="Heading1"/>
        <w:numPr>
          <w:ilvl w:val="0"/>
          <w:numId w:val="1"/>
        </w:numPr>
        <w:rPr>
          <w:rFonts w:ascii="Times New Roman" w:hAnsi="Times New Roman" w:cs="Times New Roman"/>
          <w:color w:val="auto"/>
        </w:rPr>
      </w:pPr>
      <w:r>
        <w:rPr>
          <w:rFonts w:ascii="Times New Roman" w:hAnsi="Times New Roman" w:cs="Times New Roman"/>
          <w:color w:val="auto"/>
        </w:rPr>
        <w:t>Списък на документите, които се подават на етап кандидатстване</w:t>
      </w:r>
      <w:r>
        <w:rPr>
          <w:rFonts w:ascii="Times New Roman" w:hAnsi="Times New Roman" w:cs="Times New Roman"/>
          <w:color w:val="auto"/>
          <w:vertAlign w:val="superscript"/>
        </w:rPr>
        <w:footnoteReference w:id="4"/>
      </w:r>
      <w:r>
        <w:rPr>
          <w:rFonts w:ascii="Times New Roman" w:hAnsi="Times New Roman" w:cs="Times New Roman"/>
          <w:color w:val="auto"/>
        </w:rPr>
        <w:t>:</w:t>
      </w:r>
      <w:bookmarkEnd w:id="23"/>
    </w:p>
    <w:tbl>
      <w:tblPr>
        <w:tblStyle w:val="TableGrid"/>
        <w:tblW w:w="0" w:type="auto"/>
        <w:tblLook w:val="04A0" w:firstRow="1" w:lastRow="0" w:firstColumn="1" w:lastColumn="0" w:noHBand="0" w:noVBand="1"/>
      </w:tblPr>
      <w:tblGrid>
        <w:gridCol w:w="9770"/>
      </w:tblGrid>
      <w:tr w:rsidR="00B33B36">
        <w:tc>
          <w:tcPr>
            <w:tcW w:w="9770" w:type="dxa"/>
          </w:tcPr>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Списък на документи, които се предоставят заедно с проектното предложение:</w:t>
            </w:r>
          </w:p>
          <w:p w:rsidR="00B33B36" w:rsidRPr="00A009FD" w:rsidRDefault="00B32A47">
            <w:pPr>
              <w:ind w:firstLine="426"/>
              <w:jc w:val="both"/>
              <w:rPr>
                <w:rFonts w:ascii="Times New Roman" w:hAnsi="Times New Roman" w:cs="Times New Roman"/>
                <w:sz w:val="24"/>
                <w:szCs w:val="24"/>
              </w:rPr>
            </w:pPr>
            <w:r>
              <w:rPr>
                <w:rFonts w:ascii="Times New Roman" w:hAnsi="Times New Roman" w:cs="Times New Roman"/>
                <w:sz w:val="24"/>
                <w:szCs w:val="24"/>
              </w:rPr>
              <w:t>1</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r>
            <w:r w:rsidR="009C681B" w:rsidRPr="009C681B">
              <w:rPr>
                <w:rFonts w:ascii="Times New Roman" w:hAnsi="Times New Roman" w:cs="Times New Roman"/>
                <w:sz w:val="24"/>
                <w:szCs w:val="24"/>
              </w:rPr>
              <w:t>Основната информация за проектното предложение</w:t>
            </w:r>
            <w:r w:rsidR="009C681B" w:rsidRPr="00EE1BF0">
              <w:rPr>
                <w:rFonts w:ascii="Times New Roman" w:hAnsi="Times New Roman" w:cs="Times New Roman"/>
                <w:sz w:val="24"/>
                <w:szCs w:val="24"/>
              </w:rPr>
              <w:t xml:space="preserve"> </w:t>
            </w:r>
            <w:r w:rsidR="009C681B">
              <w:rPr>
                <w:rFonts w:ascii="Times New Roman" w:hAnsi="Times New Roman" w:cs="Times New Roman"/>
                <w:sz w:val="24"/>
                <w:szCs w:val="24"/>
              </w:rPr>
              <w:t>/</w:t>
            </w:r>
            <w:r w:rsidR="00371D29" w:rsidRPr="00A009FD">
              <w:rPr>
                <w:rFonts w:ascii="Times New Roman" w:hAnsi="Times New Roman" w:cs="Times New Roman"/>
                <w:sz w:val="24"/>
                <w:szCs w:val="24"/>
              </w:rPr>
              <w:t>Описание на проектното предложение</w:t>
            </w:r>
            <w:r w:rsidR="009C681B">
              <w:rPr>
                <w:rFonts w:ascii="Times New Roman" w:hAnsi="Times New Roman" w:cs="Times New Roman"/>
                <w:sz w:val="24"/>
                <w:szCs w:val="24"/>
              </w:rPr>
              <w:t>/</w:t>
            </w:r>
            <w:r w:rsidR="00371D29" w:rsidRPr="00A009FD">
              <w:rPr>
                <w:rFonts w:ascii="Times New Roman" w:hAnsi="Times New Roman" w:cs="Times New Roman"/>
                <w:sz w:val="24"/>
                <w:szCs w:val="24"/>
              </w:rPr>
              <w:t xml:space="preserve"> – Приложение №</w:t>
            </w:r>
            <w:r w:rsidR="00F046C0">
              <w:rPr>
                <w:rFonts w:ascii="Times New Roman" w:hAnsi="Times New Roman" w:cs="Times New Roman"/>
                <w:sz w:val="24"/>
                <w:szCs w:val="24"/>
              </w:rPr>
              <w:t xml:space="preserve"> </w:t>
            </w:r>
            <w:r w:rsidR="00371D29" w:rsidRPr="00A009FD">
              <w:rPr>
                <w:rFonts w:ascii="Times New Roman" w:hAnsi="Times New Roman" w:cs="Times New Roman"/>
                <w:sz w:val="24"/>
                <w:szCs w:val="24"/>
              </w:rPr>
              <w:t>2;</w:t>
            </w:r>
          </w:p>
          <w:p w:rsidR="00B33B36" w:rsidRPr="00F046C0" w:rsidRDefault="00371D29">
            <w:pPr>
              <w:ind w:firstLine="426"/>
              <w:jc w:val="both"/>
              <w:rPr>
                <w:rFonts w:ascii="Times New Roman" w:hAnsi="Times New Roman" w:cs="Times New Roman"/>
                <w:b/>
                <w:sz w:val="24"/>
                <w:szCs w:val="24"/>
              </w:rPr>
            </w:pPr>
            <w:r w:rsidRPr="00F046C0">
              <w:rPr>
                <w:rFonts w:ascii="Times New Roman" w:hAnsi="Times New Roman" w:cs="Times New Roman"/>
                <w:b/>
                <w:sz w:val="24"/>
                <w:szCs w:val="24"/>
              </w:rPr>
              <w:t>І. Общи документи</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1.</w:t>
            </w:r>
            <w:r w:rsidRPr="00A009FD">
              <w:rPr>
                <w:rFonts w:ascii="Times New Roman" w:hAnsi="Times New Roman" w:cs="Times New Roman"/>
                <w:sz w:val="24"/>
                <w:szCs w:val="24"/>
              </w:rPr>
              <w:tab/>
              <w:t>Таблица за допустими инвестиции – Приложение № 3;</w:t>
            </w:r>
          </w:p>
          <w:p w:rsidR="00B33B36" w:rsidRPr="00E44D29" w:rsidRDefault="005A3B87" w:rsidP="00E44D29">
            <w:pPr>
              <w:pStyle w:val="HTMLPreformatted"/>
              <w:shd w:val="clear" w:color="auto" w:fill="FFFFFF"/>
              <w:ind w:firstLine="426"/>
              <w:rPr>
                <w:rFonts w:ascii="Arial" w:hAnsi="Arial" w:cs="Arial"/>
                <w:color w:val="333333"/>
              </w:rPr>
            </w:pPr>
            <w:r>
              <w:rPr>
                <w:rFonts w:ascii="Times New Roman" w:hAnsi="Times New Roman" w:cs="Times New Roman"/>
                <w:sz w:val="24"/>
                <w:szCs w:val="24"/>
              </w:rPr>
              <w:t>2.</w:t>
            </w:r>
            <w:r>
              <w:rPr>
                <w:rFonts w:ascii="Times New Roman" w:hAnsi="Times New Roman" w:cs="Times New Roman"/>
                <w:sz w:val="24"/>
                <w:szCs w:val="24"/>
              </w:rPr>
              <w:tab/>
            </w:r>
            <w:r w:rsidR="00E44D29" w:rsidRPr="00E44D29">
              <w:rPr>
                <w:rFonts w:ascii="Times New Roman" w:hAnsi="Times New Roman" w:cs="Times New Roman"/>
                <w:color w:val="333333"/>
                <w:sz w:val="24"/>
                <w:szCs w:val="24"/>
              </w:rPr>
              <w:t>Декларация в оригинал по чл. 19 и 20 от Закона за защита на личните данни по образец съгласно Приложение № 4;</w:t>
            </w:r>
          </w:p>
          <w:p w:rsidR="00B33B36" w:rsidRPr="00EE1BF0" w:rsidRDefault="005A3B87">
            <w:pPr>
              <w:ind w:firstLine="426"/>
              <w:jc w:val="both"/>
              <w:rPr>
                <w:rFonts w:ascii="Times New Roman" w:hAnsi="Times New Roman" w:cs="Times New Roman"/>
                <w:sz w:val="24"/>
                <w:szCs w:val="24"/>
              </w:rPr>
            </w:pPr>
            <w:r w:rsidRPr="00EE1BF0">
              <w:rPr>
                <w:rFonts w:ascii="Times New Roman" w:hAnsi="Times New Roman" w:cs="Times New Roman"/>
                <w:sz w:val="24"/>
                <w:szCs w:val="24"/>
              </w:rPr>
              <w:t>3</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t>Нотариално заверено изрично пълномощно – в случай че документите не се подават лично от кандидата или заповед на кмета за кандидати общини;</w:t>
            </w:r>
          </w:p>
          <w:p w:rsidR="00B33B36" w:rsidRPr="00A009FD" w:rsidRDefault="00177051" w:rsidP="00D24140">
            <w:pPr>
              <w:ind w:firstLine="426"/>
              <w:jc w:val="both"/>
              <w:rPr>
                <w:rFonts w:ascii="Times New Roman" w:hAnsi="Times New Roman" w:cs="Times New Roman"/>
                <w:sz w:val="24"/>
                <w:szCs w:val="24"/>
              </w:rPr>
            </w:pPr>
            <w:r w:rsidRPr="00EE1BF0">
              <w:rPr>
                <w:rFonts w:ascii="Times New Roman" w:hAnsi="Times New Roman" w:cs="Times New Roman"/>
                <w:sz w:val="24"/>
                <w:szCs w:val="24"/>
              </w:rPr>
              <w:t>4</w:t>
            </w:r>
            <w:r>
              <w:rPr>
                <w:rFonts w:ascii="Times New Roman" w:hAnsi="Times New Roman" w:cs="Times New Roman"/>
                <w:sz w:val="24"/>
                <w:szCs w:val="24"/>
              </w:rPr>
              <w:t xml:space="preserve">. </w:t>
            </w:r>
            <w:r w:rsidR="00371D29" w:rsidRPr="00A009FD">
              <w:rPr>
                <w:rFonts w:ascii="Times New Roman" w:hAnsi="Times New Roman" w:cs="Times New Roman"/>
                <w:sz w:val="24"/>
                <w:szCs w:val="24"/>
              </w:rPr>
              <w:tab/>
              <w:t xml:space="preserve">Копие от учредителен акт или устав, когато кандидат/получател е лице, регистрирано </w:t>
            </w:r>
            <w:r w:rsidR="00371D29" w:rsidRPr="00A009FD">
              <w:rPr>
                <w:rFonts w:ascii="Times New Roman" w:hAnsi="Times New Roman" w:cs="Times New Roman"/>
                <w:sz w:val="24"/>
                <w:szCs w:val="24"/>
              </w:rPr>
              <w:lastRenderedPageBreak/>
              <w:t>по Закона за юридическите лица с нестопанска цел или по Закона за народните читалища;</w:t>
            </w:r>
          </w:p>
          <w:p w:rsidR="00B33B36" w:rsidRPr="00A009FD" w:rsidRDefault="00D24140">
            <w:pPr>
              <w:ind w:firstLine="426"/>
              <w:jc w:val="both"/>
              <w:rPr>
                <w:rFonts w:ascii="Times New Roman" w:hAnsi="Times New Roman" w:cs="Times New Roman"/>
                <w:sz w:val="24"/>
                <w:szCs w:val="24"/>
              </w:rPr>
            </w:pPr>
            <w:r>
              <w:rPr>
                <w:rFonts w:ascii="Times New Roman" w:hAnsi="Times New Roman" w:cs="Times New Roman"/>
                <w:sz w:val="24"/>
                <w:szCs w:val="24"/>
                <w:lang w:val="en-US"/>
              </w:rPr>
              <w:t>5</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t>Свидетелство за съдимост от представляващия/те кандидата, издадено не по-късно от 6 месеца преди представянето му;</w:t>
            </w:r>
          </w:p>
          <w:p w:rsidR="00B33B36" w:rsidRPr="001C2903" w:rsidRDefault="00E70A04" w:rsidP="00E70A04">
            <w:pPr>
              <w:tabs>
                <w:tab w:val="left" w:pos="993"/>
                <w:tab w:val="left" w:pos="623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6</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371D29" w:rsidRPr="00A009FD">
              <w:rPr>
                <w:rFonts w:ascii="Times New Roman" w:hAnsi="Times New Roman" w:cs="Times New Roman"/>
                <w:sz w:val="24"/>
                <w:szCs w:val="24"/>
              </w:rPr>
              <w:t>Декларация за нередности съгласно Приложение № 6 от представляващия/те кандидата, както и от лицата с правомощия за вземане на решения или ко</w:t>
            </w:r>
            <w:r w:rsidR="001C2903">
              <w:rPr>
                <w:rFonts w:ascii="Times New Roman" w:hAnsi="Times New Roman" w:cs="Times New Roman"/>
                <w:sz w:val="24"/>
                <w:szCs w:val="24"/>
              </w:rPr>
              <w:t>нтрол по отношение на кандидата</w:t>
            </w:r>
            <w:r w:rsidR="001C2903" w:rsidRPr="00EE1BF0">
              <w:rPr>
                <w:rFonts w:ascii="Times New Roman" w:hAnsi="Times New Roman" w:cs="Times New Roman"/>
                <w:sz w:val="24"/>
                <w:szCs w:val="24"/>
              </w:rPr>
              <w:t xml:space="preserve"> /</w:t>
            </w:r>
            <w:r w:rsidR="001C2903">
              <w:rPr>
                <w:rFonts w:ascii="Times New Roman" w:hAnsi="Times New Roman" w:cs="Times New Roman"/>
                <w:sz w:val="24"/>
                <w:szCs w:val="24"/>
              </w:rPr>
              <w:t>Документът задължително се предоставя от всички кандидати</w:t>
            </w:r>
            <w:r w:rsidR="001C2903" w:rsidRPr="00EE1BF0">
              <w:rPr>
                <w:rFonts w:ascii="Times New Roman" w:hAnsi="Times New Roman" w:cs="Times New Roman"/>
                <w:sz w:val="24"/>
                <w:szCs w:val="24"/>
              </w:rPr>
              <w:t>/</w:t>
            </w:r>
            <w:r w:rsidR="001C2903">
              <w:rPr>
                <w:rFonts w:ascii="Times New Roman" w:hAnsi="Times New Roman" w:cs="Times New Roman"/>
                <w:sz w:val="24"/>
                <w:szCs w:val="24"/>
              </w:rPr>
              <w:t>.</w:t>
            </w:r>
          </w:p>
          <w:p w:rsidR="00B33B36" w:rsidRPr="00A009FD" w:rsidRDefault="003A697B">
            <w:pPr>
              <w:ind w:firstLine="426"/>
              <w:jc w:val="both"/>
              <w:rPr>
                <w:rFonts w:ascii="Times New Roman" w:hAnsi="Times New Roman" w:cs="Times New Roman"/>
                <w:sz w:val="24"/>
                <w:szCs w:val="24"/>
              </w:rPr>
            </w:pPr>
            <w:r>
              <w:rPr>
                <w:rFonts w:ascii="Times New Roman" w:hAnsi="Times New Roman" w:cs="Times New Roman"/>
                <w:sz w:val="24"/>
                <w:szCs w:val="24"/>
                <w:lang w:val="en-US"/>
              </w:rPr>
              <w:t>7</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p>
          <w:p w:rsidR="00B33B36" w:rsidRPr="00A009FD" w:rsidRDefault="00F07291">
            <w:pPr>
              <w:tabs>
                <w:tab w:val="left" w:pos="882"/>
              </w:tabs>
              <w:ind w:firstLine="426"/>
              <w:jc w:val="both"/>
              <w:rPr>
                <w:rFonts w:ascii="Times New Roman" w:hAnsi="Times New Roman" w:cs="Times New Roman"/>
                <w:sz w:val="24"/>
                <w:szCs w:val="24"/>
              </w:rPr>
            </w:pPr>
            <w:r>
              <w:rPr>
                <w:rFonts w:ascii="Times New Roman" w:hAnsi="Times New Roman" w:cs="Times New Roman"/>
                <w:sz w:val="24"/>
                <w:szCs w:val="24"/>
                <w:lang w:val="en-US"/>
              </w:rPr>
              <w:t>8</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p>
          <w:p w:rsidR="00B33B36" w:rsidRPr="00A009FD" w:rsidRDefault="008E5518">
            <w:pPr>
              <w:tabs>
                <w:tab w:val="left" w:pos="882"/>
              </w:tabs>
              <w:ind w:firstLine="426"/>
              <w:jc w:val="both"/>
              <w:rPr>
                <w:rFonts w:ascii="Times New Roman" w:hAnsi="Times New Roman" w:cs="Times New Roman"/>
                <w:sz w:val="24"/>
                <w:szCs w:val="24"/>
              </w:rPr>
            </w:pPr>
            <w:r>
              <w:rPr>
                <w:rFonts w:ascii="Times New Roman" w:hAnsi="Times New Roman" w:cs="Times New Roman"/>
                <w:sz w:val="24"/>
                <w:szCs w:val="24"/>
                <w:lang w:val="en-US"/>
              </w:rPr>
              <w:t>9</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t>Разрешително за водовземане и/или разрешително за ползване на воден обект в случаите, предвидени в Закона за водите (когато е приложимо);</w:t>
            </w:r>
          </w:p>
          <w:p w:rsidR="00B33B36" w:rsidRPr="00A009FD" w:rsidRDefault="008E5518">
            <w:pPr>
              <w:tabs>
                <w:tab w:val="left" w:pos="882"/>
              </w:tabs>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t>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p>
          <w:p w:rsidR="00B33B36" w:rsidRPr="00A009FD" w:rsidRDefault="00D6438B">
            <w:pPr>
              <w:tabs>
                <w:tab w:val="left" w:pos="882"/>
              </w:tabs>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sidR="00371D29" w:rsidRPr="00A009FD">
              <w:rPr>
                <w:rFonts w:ascii="Times New Roman" w:hAnsi="Times New Roman" w:cs="Times New Roman"/>
                <w:sz w:val="24"/>
                <w:szCs w:val="24"/>
              </w:rPr>
              <w:t>.</w:t>
            </w:r>
            <w:r w:rsidR="00371D29" w:rsidRPr="00A009FD">
              <w:rPr>
                <w:rFonts w:ascii="Times New Roman" w:hAnsi="Times New Roman" w:cs="Times New Roman"/>
                <w:sz w:val="24"/>
                <w:szCs w:val="24"/>
              </w:rPr>
              <w:tab/>
              <w:t>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p>
          <w:p w:rsidR="00B33B36" w:rsidRPr="00C339A9" w:rsidRDefault="00D6438B" w:rsidP="00C339A9">
            <w:pPr>
              <w:tabs>
                <w:tab w:val="left" w:pos="882"/>
              </w:tabs>
              <w:ind w:firstLine="426"/>
              <w:jc w:val="both"/>
              <w:rPr>
                <w:rFonts w:ascii="Times New Roman" w:hAnsi="Times New Roman" w:cs="Times New Roman"/>
                <w:sz w:val="24"/>
                <w:szCs w:val="24"/>
              </w:rPr>
            </w:pPr>
            <w:r w:rsidRPr="00C339A9">
              <w:rPr>
                <w:rFonts w:ascii="Times New Roman" w:hAnsi="Times New Roman" w:cs="Times New Roman"/>
                <w:sz w:val="24"/>
                <w:szCs w:val="24"/>
              </w:rPr>
              <w:t>1</w:t>
            </w:r>
            <w:r w:rsidRPr="00C339A9">
              <w:rPr>
                <w:rFonts w:ascii="Times New Roman" w:hAnsi="Times New Roman" w:cs="Times New Roman"/>
                <w:sz w:val="24"/>
                <w:szCs w:val="24"/>
                <w:lang w:val="en-US"/>
              </w:rPr>
              <w:t>2</w:t>
            </w:r>
            <w:r w:rsidRPr="00C339A9">
              <w:rPr>
                <w:rFonts w:ascii="Times New Roman" w:hAnsi="Times New Roman" w:cs="Times New Roman"/>
                <w:sz w:val="24"/>
                <w:szCs w:val="24"/>
              </w:rPr>
              <w:t xml:space="preserve">. </w:t>
            </w:r>
            <w:r w:rsidR="00371D29" w:rsidRPr="00C339A9">
              <w:rPr>
                <w:rFonts w:ascii="Times New Roman" w:hAnsi="Times New Roman" w:cs="Times New Roman"/>
                <w:sz w:val="24"/>
                <w:szCs w:val="24"/>
              </w:rPr>
              <w:t>Анализ разходи-ползи (финансов анализ) – Приложение № 8, изготвен по образец, утвърден от изпълнителния директор на ДФЗ, когато е приложимо;</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13.</w:t>
            </w:r>
            <w:r w:rsidRPr="00C339A9">
              <w:rPr>
                <w:rFonts w:ascii="Times New Roman" w:hAnsi="Times New Roman" w:cs="Times New Roman"/>
                <w:color w:val="333333"/>
                <w:sz w:val="24"/>
                <w:szCs w:val="24"/>
              </w:rPr>
              <w:t xml:space="preserve">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14.</w:t>
            </w:r>
            <w:r w:rsidRPr="00C339A9">
              <w:rPr>
                <w:rFonts w:ascii="Times New Roman" w:hAnsi="Times New Roman" w:cs="Times New Roman"/>
                <w:color w:val="333333"/>
                <w:sz w:val="24"/>
                <w:szCs w:val="24"/>
              </w:rPr>
              <w:t xml:space="preserve"> Решение на компетентния орган на юридическото лице за кандидатстване по ПРСР;</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15.</w:t>
            </w:r>
            <w:r w:rsidRPr="00C339A9">
              <w:rPr>
                <w:rFonts w:ascii="Times New Roman" w:hAnsi="Times New Roman" w:cs="Times New Roman"/>
                <w:color w:val="333333"/>
                <w:sz w:val="24"/>
                <w:szCs w:val="24"/>
              </w:rPr>
              <w:t xml:space="preserve"> 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16.</w:t>
            </w:r>
            <w:r w:rsidRPr="00C339A9">
              <w:rPr>
                <w:rFonts w:ascii="Times New Roman" w:hAnsi="Times New Roman" w:cs="Times New Roman"/>
                <w:color w:val="333333"/>
                <w:sz w:val="24"/>
                <w:szCs w:val="24"/>
              </w:rPr>
              <w:t xml:space="preserve">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17.</w:t>
            </w:r>
            <w:r w:rsidRPr="00C339A9">
              <w:rPr>
                <w:rFonts w:ascii="Times New Roman" w:hAnsi="Times New Roman" w:cs="Times New Roman"/>
                <w:color w:val="333333"/>
                <w:sz w:val="24"/>
                <w:szCs w:val="24"/>
              </w:rPr>
              <w:t xml:space="preserve"> Декларация по чл. 3 и чл. 4 от ЗМСП и справка за обобщените параметри на предприятието, което подава декларaцията. – Приложение № 9, когато е приложимо;</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18.</w:t>
            </w:r>
            <w:r w:rsidRPr="00C339A9">
              <w:rPr>
                <w:rFonts w:ascii="Times New Roman" w:hAnsi="Times New Roman" w:cs="Times New Roman"/>
                <w:color w:val="333333"/>
                <w:sz w:val="24"/>
                <w:szCs w:val="24"/>
              </w:rPr>
              <w:t xml:space="preserve">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ведно с банкови извлечения;</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19.</w:t>
            </w:r>
            <w:r w:rsidRPr="00C339A9">
              <w:rPr>
                <w:rFonts w:ascii="Times New Roman" w:hAnsi="Times New Roman" w:cs="Times New Roman"/>
                <w:color w:val="333333"/>
                <w:sz w:val="24"/>
                <w:szCs w:val="24"/>
              </w:rPr>
              <w:t xml:space="preserve"> Когато разходът е включен в списъка с активи, дейности и услуги, за които са определени рефернтни разходи към датата на подаване на проектното предложение, кандидатът е подал:</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88530F">
              <w:rPr>
                <w:rFonts w:ascii="Times New Roman" w:hAnsi="Times New Roman" w:cs="Times New Roman"/>
                <w:b/>
                <w:color w:val="333333"/>
                <w:sz w:val="24"/>
                <w:szCs w:val="24"/>
              </w:rPr>
              <w:t>Оферта и/или извлечение от каталог</w:t>
            </w:r>
            <w:r w:rsidRPr="00C339A9">
              <w:rPr>
                <w:rFonts w:ascii="Times New Roman" w:hAnsi="Times New Roman" w:cs="Times New Roman"/>
                <w:color w:val="333333"/>
                <w:sz w:val="24"/>
                <w:szCs w:val="24"/>
              </w:rPr>
              <w:t xml:space="preserve">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 За получаване на оферти може да се използва Приложение № 10 – образец за </w:t>
            </w:r>
            <w:r w:rsidRPr="00C339A9">
              <w:rPr>
                <w:rFonts w:ascii="Times New Roman" w:hAnsi="Times New Roman" w:cs="Times New Roman"/>
                <w:color w:val="333333"/>
                <w:sz w:val="24"/>
                <w:szCs w:val="24"/>
              </w:rPr>
              <w:lastRenderedPageBreak/>
              <w:t>запитване за оферта.</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color w:val="333333"/>
                <w:sz w:val="24"/>
                <w:szCs w:val="24"/>
              </w:rPr>
              <w:t>Когато разходът не е включен в списъка с активи, дейности и услуги, за които са определени рефернтни разходи към датата на подаване на проектното предложение, кандидатът е подал:</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88530F">
              <w:rPr>
                <w:rFonts w:ascii="Times New Roman" w:hAnsi="Times New Roman" w:cs="Times New Roman"/>
                <w:b/>
                <w:color w:val="333333"/>
                <w:sz w:val="24"/>
                <w:szCs w:val="24"/>
              </w:rPr>
              <w:t>Най-малко три съпоставими оферти,</w:t>
            </w:r>
            <w:r w:rsidRPr="00C339A9">
              <w:rPr>
                <w:rFonts w:ascii="Times New Roman" w:hAnsi="Times New Roman" w:cs="Times New Roman"/>
                <w:color w:val="333333"/>
                <w:sz w:val="24"/>
                <w:szCs w:val="24"/>
              </w:rPr>
              <w:t xml:space="preserve"> които имат следното съдържание – наименование на оферента, валидност на офертата, дата на офертата, подпис и печат на оферента, техническо предложение, ценово предложение в лева с ДДС. За получаване на оферти може да се използва Приложение № 10 – образец за запитване за оферта.</w:t>
            </w:r>
          </w:p>
          <w:p w:rsidR="00F7381C"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color w:val="333333"/>
                <w:sz w:val="24"/>
                <w:szCs w:val="24"/>
              </w:rPr>
              <w:t>Когато избраната оферта не е с най-ниска цена се прилага писмена обосновка за мотивите, обусловили избора.</w:t>
            </w:r>
          </w:p>
          <w:p w:rsidR="000E3F15" w:rsidRPr="00C339A9" w:rsidRDefault="00F7381C"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20.</w:t>
            </w:r>
            <w:r w:rsidR="000E3F15" w:rsidRPr="00C339A9">
              <w:rPr>
                <w:rFonts w:ascii="Times New Roman" w:hAnsi="Times New Roman" w:cs="Times New Roman"/>
                <w:color w:val="333333"/>
                <w:sz w:val="24"/>
                <w:szCs w:val="24"/>
              </w:rPr>
              <w:t xml:space="preserve"> 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21.</w:t>
            </w:r>
            <w:r w:rsidRPr="00C339A9">
              <w:rPr>
                <w:rFonts w:ascii="Times New Roman" w:hAnsi="Times New Roman" w:cs="Times New Roman"/>
                <w:color w:val="333333"/>
                <w:sz w:val="24"/>
                <w:szCs w:val="24"/>
              </w:rPr>
              <w:t xml:space="preserve"> Декларация от представляващия МИГ, че изпълнител или подизпълнител на дейностите на проекта отговарят на изискванията на чл. 19, ал. 5, т. 2 (при кандидат МИГ) на Наредба № 22 от 2015 г.;</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22.</w:t>
            </w:r>
            <w:r w:rsidRPr="00C339A9">
              <w:rPr>
                <w:rFonts w:ascii="Times New Roman" w:hAnsi="Times New Roman" w:cs="Times New Roman"/>
                <w:color w:val="333333"/>
                <w:sz w:val="24"/>
                <w:szCs w:val="24"/>
              </w:rPr>
              <w:t xml:space="preserve">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23.</w:t>
            </w:r>
            <w:r w:rsidRPr="00C339A9">
              <w:rPr>
                <w:rFonts w:ascii="Times New Roman" w:hAnsi="Times New Roman" w:cs="Times New Roman"/>
                <w:color w:val="333333"/>
                <w:sz w:val="24"/>
                <w:szCs w:val="24"/>
              </w:rPr>
              <w:t xml:space="preserve"> Други документи за доказване на изисквания от стратегията за ВОМР (когато е приложимо).</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24.</w:t>
            </w:r>
            <w:r w:rsidRPr="00C339A9">
              <w:rPr>
                <w:rFonts w:ascii="Times New Roman" w:hAnsi="Times New Roman" w:cs="Times New Roman"/>
                <w:color w:val="333333"/>
                <w:sz w:val="24"/>
                <w:szCs w:val="24"/>
              </w:rPr>
              <w:t xml:space="preserve"> 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25.</w:t>
            </w:r>
            <w:r w:rsidRPr="00C339A9">
              <w:rPr>
                <w:rFonts w:ascii="Times New Roman" w:hAnsi="Times New Roman" w:cs="Times New Roman"/>
                <w:color w:val="333333"/>
                <w:sz w:val="24"/>
                <w:szCs w:val="24"/>
              </w:rPr>
              <w:t xml:space="preserve"> Решение на общинския съвет за кандидатстване по реда на настоящите условия за кандидатстване</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26.</w:t>
            </w:r>
            <w:r w:rsidRPr="00C339A9">
              <w:rPr>
                <w:rFonts w:ascii="Times New Roman" w:hAnsi="Times New Roman" w:cs="Times New Roman"/>
                <w:color w:val="333333"/>
                <w:sz w:val="24"/>
                <w:szCs w:val="24"/>
              </w:rPr>
              <w:t xml:space="preserve"> Предварителни или окончателни договори за услуги и доставки – обект на инвестицията</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27.</w:t>
            </w:r>
            <w:r w:rsidRPr="00C339A9">
              <w:rPr>
                <w:rFonts w:ascii="Times New Roman" w:hAnsi="Times New Roman" w:cs="Times New Roman"/>
                <w:color w:val="333333"/>
                <w:sz w:val="24"/>
                <w:szCs w:val="24"/>
              </w:rPr>
              <w:t xml:space="preserve"> Декларация за изкуствено създадени условия и/или наличие на функционална несамостоятелност.Приложение № 21</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28.</w:t>
            </w:r>
            <w:r w:rsidRPr="00C339A9">
              <w:rPr>
                <w:rFonts w:ascii="Times New Roman" w:hAnsi="Times New Roman" w:cs="Times New Roman"/>
                <w:color w:val="333333"/>
                <w:sz w:val="24"/>
                <w:szCs w:val="24"/>
              </w:rPr>
              <w:t xml:space="preserve"> Декларация съгласно Приложение № 5 Декларация за липса на основание за отстраняване.</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29.</w:t>
            </w:r>
            <w:r w:rsidRPr="00C339A9">
              <w:rPr>
                <w:rFonts w:ascii="Times New Roman" w:hAnsi="Times New Roman" w:cs="Times New Roman"/>
                <w:color w:val="333333"/>
                <w:sz w:val="24"/>
                <w:szCs w:val="24"/>
              </w:rPr>
              <w:t xml:space="preserve"> Приложение № 12 Декларация de minimis МФ</w:t>
            </w:r>
          </w:p>
          <w:p w:rsidR="000E3F15"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30.</w:t>
            </w:r>
            <w:r w:rsidRPr="00C339A9">
              <w:rPr>
                <w:rFonts w:ascii="Times New Roman" w:hAnsi="Times New Roman" w:cs="Times New Roman"/>
                <w:color w:val="333333"/>
                <w:sz w:val="24"/>
                <w:szCs w:val="24"/>
              </w:rPr>
              <w:t xml:space="preserve"> Анализ за социално-икономическите ползи за развитието на селския район и устойчивостта на инвестицията – Приложение № 7;</w:t>
            </w:r>
          </w:p>
          <w:p w:rsidR="009A2D0A" w:rsidRPr="00C339A9" w:rsidRDefault="000E3F15" w:rsidP="00C339A9">
            <w:pPr>
              <w:pStyle w:val="HTMLPreformatted"/>
              <w:shd w:val="clear" w:color="auto" w:fill="FFFFFF"/>
              <w:ind w:firstLine="426"/>
              <w:jc w:val="both"/>
              <w:rPr>
                <w:rFonts w:ascii="Times New Roman" w:hAnsi="Times New Roman" w:cs="Times New Roman"/>
                <w:color w:val="333333"/>
                <w:sz w:val="24"/>
                <w:szCs w:val="24"/>
              </w:rPr>
            </w:pPr>
            <w:r w:rsidRPr="00C339A9">
              <w:rPr>
                <w:rFonts w:ascii="Times New Roman" w:hAnsi="Times New Roman" w:cs="Times New Roman"/>
                <w:sz w:val="24"/>
                <w:szCs w:val="24"/>
              </w:rPr>
              <w:t>31.</w:t>
            </w:r>
            <w:r w:rsidR="009A2D0A" w:rsidRPr="00C339A9">
              <w:rPr>
                <w:rFonts w:ascii="Times New Roman" w:hAnsi="Times New Roman" w:cs="Times New Roman"/>
                <w:color w:val="333333"/>
                <w:sz w:val="24"/>
                <w:szCs w:val="24"/>
              </w:rPr>
              <w:t xml:space="preserve"> Документи, доказващи съответствие с критериите за подбор на проекти</w:t>
            </w:r>
          </w:p>
          <w:p w:rsidR="00F7381C" w:rsidRDefault="00F7381C" w:rsidP="00C339A9">
            <w:pPr>
              <w:tabs>
                <w:tab w:val="left" w:pos="882"/>
              </w:tabs>
              <w:ind w:firstLine="426"/>
              <w:jc w:val="both"/>
              <w:rPr>
                <w:rFonts w:ascii="Times New Roman" w:hAnsi="Times New Roman" w:cs="Times New Roman"/>
                <w:sz w:val="24"/>
                <w:szCs w:val="24"/>
              </w:rPr>
            </w:pPr>
          </w:p>
          <w:p w:rsidR="00B33B36" w:rsidRPr="00F046C0" w:rsidRDefault="00371D29">
            <w:pPr>
              <w:ind w:firstLine="426"/>
              <w:jc w:val="both"/>
              <w:rPr>
                <w:rFonts w:ascii="Times New Roman" w:hAnsi="Times New Roman" w:cs="Times New Roman"/>
                <w:b/>
                <w:sz w:val="24"/>
                <w:szCs w:val="24"/>
              </w:rPr>
            </w:pPr>
            <w:r w:rsidRPr="00F046C0">
              <w:rPr>
                <w:rFonts w:ascii="Times New Roman" w:hAnsi="Times New Roman" w:cs="Times New Roman"/>
                <w:b/>
                <w:sz w:val="24"/>
                <w:szCs w:val="24"/>
              </w:rPr>
              <w:t>II. Строително-монтажни работи: строителство, реконструкция, ремонт, рехабилитация.</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1.</w:t>
            </w:r>
            <w:r w:rsidRPr="00A009FD">
              <w:rPr>
                <w:rFonts w:ascii="Times New Roman" w:hAnsi="Times New Roman" w:cs="Times New Roman"/>
                <w:sz w:val="24"/>
                <w:szCs w:val="24"/>
              </w:rPr>
              <w:tab/>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2.</w:t>
            </w:r>
            <w:r w:rsidRPr="00A009FD">
              <w:rPr>
                <w:rFonts w:ascii="Times New Roman" w:hAnsi="Times New Roman" w:cs="Times New Roman"/>
                <w:sz w:val="24"/>
                <w:szCs w:val="24"/>
              </w:rPr>
              <w:tab/>
              <w:t>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w:t>
            </w:r>
            <w:r w:rsidRPr="00A009FD">
              <w:rPr>
                <w:rFonts w:ascii="Times New Roman" w:hAnsi="Times New Roman" w:cs="Times New Roman"/>
                <w:sz w:val="24"/>
                <w:szCs w:val="24"/>
              </w:rPr>
              <w:lastRenderedPageBreak/>
              <w:t>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3.</w:t>
            </w:r>
            <w:r w:rsidRPr="00A009FD">
              <w:rPr>
                <w:rFonts w:ascii="Times New Roman" w:hAnsi="Times New Roman" w:cs="Times New Roman"/>
                <w:sz w:val="24"/>
                <w:szCs w:val="24"/>
              </w:rPr>
              <w:tab/>
              <w:t xml:space="preserve">Разрешение за строеж, когато издаването му се изисква съгласно Закона за устройство на територията, </w:t>
            </w:r>
            <w:r w:rsidRPr="00F74C7A">
              <w:rPr>
                <w:rFonts w:ascii="Times New Roman" w:hAnsi="Times New Roman" w:cs="Times New Roman"/>
                <w:sz w:val="24"/>
                <w:szCs w:val="24"/>
              </w:rPr>
              <w:t>или становище на главния архитект</w:t>
            </w:r>
            <w:r w:rsidRPr="00A009FD">
              <w:rPr>
                <w:rFonts w:ascii="Times New Roman" w:hAnsi="Times New Roman" w:cs="Times New Roman"/>
                <w:sz w:val="24"/>
                <w:szCs w:val="24"/>
              </w:rPr>
              <w:t>, че строежът не се нуждае от издаване на разрешение за строеж, когато издаването му не се изисква съгласно Закона за устройство на територията;</w:t>
            </w:r>
          </w:p>
          <w:p w:rsidR="00B33B36"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4.</w:t>
            </w:r>
            <w:r w:rsidRPr="00A009FD">
              <w:rPr>
                <w:rFonts w:ascii="Times New Roman" w:hAnsi="Times New Roman" w:cs="Times New Roman"/>
                <w:sz w:val="24"/>
                <w:szCs w:val="24"/>
              </w:rPr>
              <w:tab/>
              <w:t>Подробни количествени сметки за предвидените строително-монтажни работи, заверени от правоспособно лице;</w:t>
            </w:r>
          </w:p>
          <w:p w:rsidR="0032009C" w:rsidRPr="0032009C" w:rsidRDefault="00193EDD" w:rsidP="0032009C">
            <w:pPr>
              <w:pStyle w:val="HTMLPreformatted"/>
              <w:shd w:val="clear" w:color="auto" w:fill="FFFFFF"/>
              <w:ind w:firstLine="426"/>
              <w:jc w:val="both"/>
              <w:rPr>
                <w:rFonts w:ascii="Times New Roman" w:hAnsi="Times New Roman" w:cs="Times New Roman"/>
                <w:color w:val="333333"/>
                <w:sz w:val="24"/>
                <w:szCs w:val="24"/>
              </w:rPr>
            </w:pPr>
            <w:r w:rsidRPr="0032009C">
              <w:rPr>
                <w:rFonts w:ascii="Times New Roman" w:hAnsi="Times New Roman" w:cs="Times New Roman"/>
                <w:sz w:val="24"/>
                <w:szCs w:val="24"/>
              </w:rPr>
              <w:t xml:space="preserve">5. </w:t>
            </w:r>
            <w:r w:rsidR="0032009C" w:rsidRPr="0032009C">
              <w:rPr>
                <w:rFonts w:ascii="Times New Roman" w:hAnsi="Times New Roman" w:cs="Times New Roman"/>
                <w:color w:val="333333"/>
                <w:sz w:val="24"/>
                <w:szCs w:val="24"/>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 недвижими културни ценности);</w:t>
            </w:r>
          </w:p>
          <w:p w:rsidR="0032009C" w:rsidRPr="0032009C" w:rsidRDefault="0032009C" w:rsidP="0032009C">
            <w:pPr>
              <w:pStyle w:val="HTMLPreformatted"/>
              <w:shd w:val="clear" w:color="auto" w:fill="FFFFFF"/>
              <w:ind w:firstLine="426"/>
              <w:jc w:val="both"/>
              <w:rPr>
                <w:rFonts w:ascii="Times New Roman" w:hAnsi="Times New Roman" w:cs="Times New Roman"/>
                <w:color w:val="333333"/>
                <w:sz w:val="24"/>
                <w:szCs w:val="24"/>
              </w:rPr>
            </w:pPr>
            <w:r w:rsidRPr="0032009C">
              <w:rPr>
                <w:rFonts w:ascii="Times New Roman" w:hAnsi="Times New Roman" w:cs="Times New Roman"/>
                <w:sz w:val="24"/>
                <w:szCs w:val="24"/>
              </w:rPr>
              <w:t>6.</w:t>
            </w:r>
            <w:r w:rsidRPr="0032009C">
              <w:rPr>
                <w:rFonts w:ascii="Times New Roman" w:hAnsi="Times New Roman" w:cs="Times New Roman"/>
                <w:color w:val="333333"/>
                <w:sz w:val="24"/>
                <w:szCs w:val="24"/>
              </w:rPr>
              <w:t xml:space="preserve"> Удостоверение от Националния институт за недвижимо културно наследство за статута на обекта като недвижима културна ценност във връзка с т. 5;</w:t>
            </w:r>
          </w:p>
          <w:p w:rsidR="0032009C" w:rsidRPr="0032009C" w:rsidRDefault="0032009C" w:rsidP="0032009C">
            <w:pPr>
              <w:pStyle w:val="HTMLPreformatted"/>
              <w:shd w:val="clear" w:color="auto" w:fill="FFFFFF"/>
              <w:ind w:firstLine="426"/>
              <w:jc w:val="both"/>
              <w:rPr>
                <w:rFonts w:ascii="Times New Roman" w:hAnsi="Times New Roman" w:cs="Times New Roman"/>
                <w:color w:val="333333"/>
                <w:sz w:val="24"/>
                <w:szCs w:val="24"/>
              </w:rPr>
            </w:pPr>
            <w:r w:rsidRPr="0032009C">
              <w:rPr>
                <w:rFonts w:ascii="Times New Roman" w:hAnsi="Times New Roman" w:cs="Times New Roman"/>
                <w:sz w:val="24"/>
                <w:szCs w:val="24"/>
              </w:rPr>
              <w:t>7.</w:t>
            </w:r>
            <w:r w:rsidRPr="0032009C">
              <w:rPr>
                <w:rFonts w:ascii="Times New Roman" w:hAnsi="Times New Roman" w:cs="Times New Roman"/>
                <w:color w:val="333333"/>
                <w:sz w:val="24"/>
                <w:szCs w:val="24"/>
              </w:rPr>
              <w:t xml:space="preserve"> Разрешение за поставяне, издадено в съответствие със Закона за устройство на територията за разходи за преместваеми обекти;</w:t>
            </w:r>
          </w:p>
          <w:p w:rsidR="0032009C" w:rsidRPr="0032009C" w:rsidRDefault="0032009C" w:rsidP="0032009C">
            <w:pPr>
              <w:pStyle w:val="HTMLPreformatted"/>
              <w:shd w:val="clear" w:color="auto" w:fill="FFFFFF"/>
              <w:ind w:firstLine="426"/>
              <w:jc w:val="both"/>
              <w:rPr>
                <w:rFonts w:ascii="Times New Roman" w:hAnsi="Times New Roman" w:cs="Times New Roman"/>
                <w:color w:val="333333"/>
                <w:sz w:val="24"/>
                <w:szCs w:val="24"/>
              </w:rPr>
            </w:pPr>
            <w:r w:rsidRPr="0032009C">
              <w:rPr>
                <w:rFonts w:ascii="Times New Roman" w:hAnsi="Times New Roman" w:cs="Times New Roman"/>
                <w:sz w:val="24"/>
                <w:szCs w:val="24"/>
              </w:rPr>
              <w:t>8.</w:t>
            </w:r>
            <w:r w:rsidRPr="0032009C">
              <w:rPr>
                <w:rFonts w:ascii="Times New Roman" w:hAnsi="Times New Roman" w:cs="Times New Roman"/>
                <w:color w:val="333333"/>
                <w:sz w:val="24"/>
                <w:szCs w:val="24"/>
              </w:rPr>
              <w:t xml:space="preserve"> 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w:t>
            </w:r>
          </w:p>
          <w:p w:rsidR="0032009C" w:rsidRPr="0032009C" w:rsidRDefault="0032009C" w:rsidP="0032009C">
            <w:pPr>
              <w:pStyle w:val="HTMLPreformatted"/>
              <w:shd w:val="clear" w:color="auto" w:fill="FFFFFF"/>
              <w:ind w:firstLine="426"/>
              <w:jc w:val="both"/>
              <w:rPr>
                <w:rFonts w:ascii="Times New Roman" w:hAnsi="Times New Roman" w:cs="Times New Roman"/>
                <w:color w:val="333333"/>
                <w:sz w:val="24"/>
                <w:szCs w:val="24"/>
              </w:rPr>
            </w:pPr>
            <w:r w:rsidRPr="0032009C">
              <w:rPr>
                <w:rFonts w:ascii="Times New Roman" w:hAnsi="Times New Roman" w:cs="Times New Roman"/>
                <w:sz w:val="24"/>
                <w:szCs w:val="24"/>
              </w:rPr>
              <w:t>9.</w:t>
            </w:r>
            <w:r w:rsidRPr="0032009C">
              <w:rPr>
                <w:rFonts w:ascii="Times New Roman" w:hAnsi="Times New Roman" w:cs="Times New Roman"/>
                <w:color w:val="333333"/>
                <w:sz w:val="24"/>
                <w:szCs w:val="24"/>
              </w:rPr>
              <w:t xml:space="preserve"> Удостоверение за ползван патент и/или удостоверение за полезен модел или внедряване на инвестиции, когато е приложимо;</w:t>
            </w:r>
          </w:p>
          <w:p w:rsidR="0032009C" w:rsidRPr="0032009C" w:rsidRDefault="0032009C" w:rsidP="0032009C">
            <w:pPr>
              <w:pStyle w:val="HTMLPreformatted"/>
              <w:shd w:val="clear" w:color="auto" w:fill="FFFFFF"/>
              <w:ind w:firstLine="426"/>
              <w:jc w:val="both"/>
              <w:rPr>
                <w:rFonts w:ascii="Times New Roman" w:hAnsi="Times New Roman" w:cs="Times New Roman"/>
                <w:color w:val="333333"/>
                <w:sz w:val="24"/>
                <w:szCs w:val="24"/>
              </w:rPr>
            </w:pPr>
            <w:r w:rsidRPr="0032009C">
              <w:rPr>
                <w:rFonts w:ascii="Times New Roman" w:hAnsi="Times New Roman" w:cs="Times New Roman"/>
                <w:sz w:val="24"/>
                <w:szCs w:val="24"/>
              </w:rPr>
              <w:t>10.</w:t>
            </w:r>
            <w:r w:rsidRPr="0032009C">
              <w:rPr>
                <w:rFonts w:ascii="Times New Roman" w:hAnsi="Times New Roman" w:cs="Times New Roman"/>
                <w:color w:val="333333"/>
                <w:sz w:val="24"/>
                <w:szCs w:val="24"/>
              </w:rPr>
              <w:t xml:space="preserve">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договора за предоставяне на финансовата помощ за съществуващи общински пътища, улици и тротоари и съоръженията и принадлежностите към тях.</w:t>
            </w:r>
          </w:p>
          <w:p w:rsidR="0032009C" w:rsidRPr="0032009C" w:rsidRDefault="0032009C" w:rsidP="0032009C">
            <w:pPr>
              <w:pStyle w:val="HTMLPreformatted"/>
              <w:shd w:val="clear" w:color="auto" w:fill="FFFFFF"/>
              <w:ind w:firstLine="426"/>
              <w:jc w:val="both"/>
              <w:rPr>
                <w:rFonts w:ascii="Times New Roman" w:hAnsi="Times New Roman" w:cs="Times New Roman"/>
                <w:color w:val="333333"/>
                <w:sz w:val="24"/>
                <w:szCs w:val="24"/>
              </w:rPr>
            </w:pPr>
            <w:r w:rsidRPr="0032009C">
              <w:rPr>
                <w:rFonts w:ascii="Times New Roman" w:hAnsi="Times New Roman" w:cs="Times New Roman"/>
                <w:sz w:val="24"/>
                <w:szCs w:val="24"/>
              </w:rPr>
              <w:t>11.</w:t>
            </w:r>
            <w:r w:rsidRPr="0032009C">
              <w:rPr>
                <w:rFonts w:ascii="Times New Roman" w:hAnsi="Times New Roman" w:cs="Times New Roman"/>
                <w:color w:val="333333"/>
                <w:sz w:val="24"/>
                <w:szCs w:val="24"/>
              </w:rPr>
              <w:t xml:space="preserve"> Подробни количествено - стойностни сметки за предвидените строително- монтажни работи, заверени от правоспособно лице.</w:t>
            </w:r>
          </w:p>
          <w:p w:rsidR="0032009C" w:rsidRDefault="0032009C">
            <w:pPr>
              <w:ind w:firstLine="426"/>
              <w:jc w:val="both"/>
              <w:rPr>
                <w:rFonts w:ascii="Times New Roman" w:hAnsi="Times New Roman" w:cs="Times New Roman"/>
                <w:sz w:val="24"/>
                <w:szCs w:val="24"/>
              </w:rPr>
            </w:pPr>
          </w:p>
          <w:p w:rsidR="00B33B36" w:rsidRPr="0032009C" w:rsidRDefault="00371D29">
            <w:pPr>
              <w:ind w:firstLine="426"/>
              <w:jc w:val="both"/>
              <w:rPr>
                <w:rFonts w:ascii="Times New Roman" w:hAnsi="Times New Roman" w:cs="Times New Roman"/>
                <w:b/>
                <w:sz w:val="24"/>
                <w:szCs w:val="24"/>
              </w:rPr>
            </w:pPr>
            <w:r w:rsidRPr="0032009C">
              <w:rPr>
                <w:rFonts w:ascii="Times New Roman" w:hAnsi="Times New Roman" w:cs="Times New Roman"/>
                <w:b/>
                <w:sz w:val="24"/>
                <w:szCs w:val="24"/>
              </w:rPr>
              <w:t>III. Машини, съоръжения, оборудване и обзавеждане</w:t>
            </w:r>
          </w:p>
          <w:p w:rsidR="00B5775D" w:rsidRDefault="00371D29" w:rsidP="00B5775D">
            <w:pPr>
              <w:pStyle w:val="HTMLPreformatted"/>
              <w:numPr>
                <w:ilvl w:val="0"/>
                <w:numId w:val="26"/>
              </w:numPr>
              <w:shd w:val="clear" w:color="auto" w:fill="FFFFFF"/>
              <w:rPr>
                <w:rFonts w:ascii="Roboto" w:hAnsi="Roboto"/>
                <w:color w:val="333333"/>
              </w:rPr>
            </w:pPr>
            <w:r w:rsidRPr="00A009FD">
              <w:rPr>
                <w:rFonts w:ascii="Times New Roman" w:hAnsi="Times New Roman" w:cs="Times New Roman"/>
                <w:sz w:val="24"/>
                <w:szCs w:val="24"/>
              </w:rPr>
              <w:t>Технологичен проект ведно със схема и описание на технологичния процес, изготвен и заверен от правоспособно лице (когато инвестицията по проекта е част от технологичен процес);</w:t>
            </w:r>
            <w:r w:rsidR="00B5775D">
              <w:rPr>
                <w:rFonts w:ascii="Roboto" w:hAnsi="Roboto"/>
                <w:color w:val="333333"/>
              </w:rPr>
              <w:t xml:space="preserve"> </w:t>
            </w:r>
          </w:p>
          <w:p w:rsidR="00B5775D" w:rsidRDefault="00B5775D" w:rsidP="00B5775D">
            <w:pPr>
              <w:pStyle w:val="HTMLPreformatted"/>
              <w:shd w:val="clear" w:color="auto" w:fill="FFFFFF"/>
              <w:ind w:left="720"/>
              <w:jc w:val="both"/>
              <w:rPr>
                <w:rFonts w:ascii="Times New Roman" w:hAnsi="Times New Roman" w:cs="Times New Roman"/>
                <w:color w:val="333333"/>
                <w:sz w:val="24"/>
                <w:szCs w:val="24"/>
              </w:rPr>
            </w:pPr>
          </w:p>
          <w:p w:rsidR="00B5775D" w:rsidRPr="00B5775D" w:rsidRDefault="00B5775D" w:rsidP="00B5775D">
            <w:pPr>
              <w:pStyle w:val="HTMLPreformatted"/>
              <w:shd w:val="clear" w:color="auto" w:fill="FFFFFF"/>
              <w:ind w:left="36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B5775D">
              <w:rPr>
                <w:rFonts w:ascii="Times New Roman" w:hAnsi="Times New Roman" w:cs="Times New Roman"/>
                <w:color w:val="333333"/>
                <w:sz w:val="24"/>
                <w:szCs w:val="24"/>
              </w:rPr>
              <w:t>В случаите, когато даден документ не е приложим, кандидатът е прикачил декларация по образец на Държавен фонд „Земеделие“ удостоверяваща това обстоятелство – във формат „pdf“ или „jpg“ – Съгласно приложение № 11.</w:t>
            </w:r>
          </w:p>
          <w:p w:rsidR="00B33B36" w:rsidRPr="00A009FD" w:rsidRDefault="00B33B36">
            <w:pPr>
              <w:ind w:firstLine="426"/>
              <w:jc w:val="both"/>
              <w:rPr>
                <w:rFonts w:ascii="Times New Roman" w:hAnsi="Times New Roman" w:cs="Times New Roman"/>
                <w:sz w:val="24"/>
                <w:szCs w:val="24"/>
              </w:rPr>
            </w:pPr>
          </w:p>
          <w:p w:rsidR="00B33B36" w:rsidRPr="00A009FD" w:rsidRDefault="00B33B36">
            <w:pPr>
              <w:ind w:firstLine="426"/>
              <w:jc w:val="both"/>
              <w:rPr>
                <w:rFonts w:ascii="Times New Roman" w:hAnsi="Times New Roman" w:cs="Times New Roman"/>
                <w:sz w:val="24"/>
                <w:szCs w:val="24"/>
              </w:rPr>
            </w:pPr>
          </w:p>
          <w:p w:rsidR="00B33B36" w:rsidRPr="0032009C" w:rsidRDefault="00371D29">
            <w:pPr>
              <w:ind w:firstLine="426"/>
              <w:jc w:val="both"/>
              <w:rPr>
                <w:rFonts w:ascii="Times New Roman" w:hAnsi="Times New Roman" w:cs="Times New Roman"/>
                <w:b/>
                <w:sz w:val="24"/>
                <w:szCs w:val="24"/>
              </w:rPr>
            </w:pPr>
            <w:r w:rsidRPr="0032009C">
              <w:rPr>
                <w:rFonts w:ascii="Times New Roman" w:hAnsi="Times New Roman" w:cs="Times New Roman"/>
                <w:b/>
                <w:sz w:val="24"/>
                <w:szCs w:val="24"/>
              </w:rPr>
              <w:t>ДРУГИ ДОКУМЕНТИ:</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1.</w:t>
            </w:r>
            <w:r w:rsidRPr="00A009FD">
              <w:rPr>
                <w:rFonts w:ascii="Times New Roman" w:hAnsi="Times New Roman" w:cs="Times New Roman"/>
                <w:sz w:val="24"/>
                <w:szCs w:val="24"/>
              </w:rPr>
              <w:tab/>
              <w:t xml:space="preserve">Приложение № 12 </w:t>
            </w:r>
            <w:r w:rsidRPr="007B1D10">
              <w:rPr>
                <w:rFonts w:ascii="Times New Roman" w:hAnsi="Times New Roman" w:cs="Times New Roman"/>
                <w:sz w:val="24"/>
                <w:szCs w:val="24"/>
              </w:rPr>
              <w:t>Декларация de minimis МФ;</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2.</w:t>
            </w:r>
            <w:r w:rsidRPr="00A009FD">
              <w:rPr>
                <w:rFonts w:ascii="Times New Roman" w:hAnsi="Times New Roman" w:cs="Times New Roman"/>
                <w:sz w:val="24"/>
                <w:szCs w:val="24"/>
              </w:rPr>
              <w:tab/>
              <w:t>Приложение № 13 Декларация за държавни помощи ДФЗ;</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3.</w:t>
            </w:r>
            <w:r w:rsidRPr="00A009FD">
              <w:rPr>
                <w:rFonts w:ascii="Times New Roman" w:hAnsi="Times New Roman" w:cs="Times New Roman"/>
                <w:sz w:val="24"/>
                <w:szCs w:val="24"/>
              </w:rPr>
              <w:tab/>
              <w:t>Приложение № 14 Декларация минимални помощи ДФЗ;</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4.</w:t>
            </w:r>
            <w:r w:rsidRPr="00A009FD">
              <w:rPr>
                <w:rFonts w:ascii="Times New Roman" w:hAnsi="Times New Roman" w:cs="Times New Roman"/>
                <w:sz w:val="24"/>
                <w:szCs w:val="24"/>
              </w:rPr>
              <w:tab/>
              <w:t>Приложение № 15 Декларация НСИ;</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5.</w:t>
            </w:r>
            <w:r w:rsidRPr="00A009FD">
              <w:rPr>
                <w:rFonts w:ascii="Times New Roman" w:hAnsi="Times New Roman" w:cs="Times New Roman"/>
                <w:sz w:val="24"/>
                <w:szCs w:val="24"/>
              </w:rPr>
              <w:tab/>
              <w:t>Приложение № 16 Декларация за липса на двойно финансиране и изкуствено създадени условия;</w:t>
            </w:r>
          </w:p>
          <w:p w:rsidR="00B33B36" w:rsidRPr="00A009FD" w:rsidRDefault="00371D29">
            <w:pPr>
              <w:ind w:firstLine="426"/>
              <w:jc w:val="both"/>
              <w:rPr>
                <w:rFonts w:ascii="Times New Roman" w:hAnsi="Times New Roman" w:cs="Times New Roman"/>
                <w:sz w:val="24"/>
                <w:szCs w:val="24"/>
              </w:rPr>
            </w:pPr>
            <w:r w:rsidRPr="00A009FD">
              <w:rPr>
                <w:rFonts w:ascii="Times New Roman" w:hAnsi="Times New Roman" w:cs="Times New Roman"/>
                <w:sz w:val="24"/>
                <w:szCs w:val="24"/>
              </w:rPr>
              <w:t>6. Приложение № 17 Списък с наименованията на активите, дейностите и услугите, за които са определени референтни разходи;</w:t>
            </w:r>
          </w:p>
          <w:p w:rsidR="00B33B36" w:rsidRDefault="00E05424">
            <w:pPr>
              <w:ind w:firstLine="426"/>
              <w:jc w:val="both"/>
              <w:rPr>
                <w:rFonts w:ascii="Times New Roman" w:hAnsi="Times New Roman" w:cs="Times New Roman"/>
                <w:sz w:val="24"/>
                <w:szCs w:val="24"/>
              </w:rPr>
            </w:pPr>
            <w:r>
              <w:rPr>
                <w:rFonts w:ascii="Times New Roman" w:hAnsi="Times New Roman" w:cs="Times New Roman"/>
                <w:sz w:val="24"/>
                <w:szCs w:val="24"/>
                <w:lang w:val="en-US"/>
              </w:rPr>
              <w:t>7</w:t>
            </w:r>
            <w:r w:rsidR="00371D29" w:rsidRPr="00EE1BF0">
              <w:rPr>
                <w:rFonts w:ascii="Times New Roman" w:hAnsi="Times New Roman" w:cs="Times New Roman"/>
                <w:sz w:val="24"/>
                <w:szCs w:val="24"/>
              </w:rPr>
              <w:t xml:space="preserve">. </w:t>
            </w:r>
            <w:r w:rsidR="00371D29" w:rsidRPr="00A009FD">
              <w:rPr>
                <w:rFonts w:ascii="Times New Roman" w:hAnsi="Times New Roman" w:cs="Times New Roman"/>
                <w:sz w:val="24"/>
                <w:szCs w:val="24"/>
              </w:rPr>
              <w:t xml:space="preserve">Приложение № 19 Формуляр за </w:t>
            </w:r>
            <w:r w:rsidR="00872A26">
              <w:rPr>
                <w:rFonts w:ascii="Times New Roman" w:hAnsi="Times New Roman" w:cs="Times New Roman"/>
                <w:sz w:val="24"/>
                <w:szCs w:val="24"/>
              </w:rPr>
              <w:t>мониторинг</w:t>
            </w:r>
            <w:r w:rsidR="00371D29" w:rsidRPr="00A009FD">
              <w:rPr>
                <w:rFonts w:ascii="Times New Roman" w:hAnsi="Times New Roman" w:cs="Times New Roman"/>
                <w:sz w:val="24"/>
                <w:szCs w:val="24"/>
              </w:rPr>
              <w:t xml:space="preserve"> съгласно изискването на чл. 47, ал. 2, т. 3 на Наредба № 22.</w:t>
            </w:r>
          </w:p>
          <w:p w:rsidR="00935776" w:rsidRDefault="00E05424" w:rsidP="00935776">
            <w:pPr>
              <w:widowControl w:val="0"/>
              <w:tabs>
                <w:tab w:val="left" w:pos="567"/>
                <w:tab w:val="left" w:pos="99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8</w:t>
            </w:r>
            <w:r w:rsidR="00935776" w:rsidRPr="00EE1BF0">
              <w:rPr>
                <w:rFonts w:ascii="Times New Roman" w:hAnsi="Times New Roman" w:cs="Times New Roman"/>
                <w:sz w:val="24"/>
                <w:szCs w:val="24"/>
              </w:rPr>
              <w:t xml:space="preserve">. </w:t>
            </w:r>
            <w:r w:rsidR="00D2794A" w:rsidRPr="00935776">
              <w:rPr>
                <w:rFonts w:ascii="Times New Roman" w:hAnsi="Times New Roman" w:cs="Times New Roman"/>
                <w:sz w:val="24"/>
                <w:szCs w:val="24"/>
              </w:rPr>
              <w:t>Приложение № 20</w:t>
            </w:r>
            <w:r w:rsidR="00D2794A">
              <w:rPr>
                <w:rFonts w:ascii="Times New Roman" w:hAnsi="Times New Roman" w:cs="Times New Roman"/>
                <w:sz w:val="24"/>
                <w:szCs w:val="24"/>
              </w:rPr>
              <w:t xml:space="preserve"> </w:t>
            </w:r>
            <w:r w:rsidR="00935776" w:rsidRPr="00935776">
              <w:rPr>
                <w:rFonts w:ascii="Times New Roman" w:hAnsi="Times New Roman" w:cs="Times New Roman"/>
                <w:sz w:val="24"/>
                <w:szCs w:val="24"/>
              </w:rPr>
              <w:t>Декларация за липса на свързаност</w:t>
            </w:r>
            <w:proofErr w:type="gramStart"/>
            <w:r w:rsidR="00935776" w:rsidRPr="00935776">
              <w:rPr>
                <w:rFonts w:ascii="Times New Roman" w:hAnsi="Times New Roman" w:cs="Times New Roman"/>
                <w:sz w:val="24"/>
                <w:szCs w:val="24"/>
              </w:rPr>
              <w:t>,съгласно</w:t>
            </w:r>
            <w:proofErr w:type="gramEnd"/>
            <w:r w:rsidR="00935776" w:rsidRPr="00935776">
              <w:rPr>
                <w:rFonts w:ascii="Times New Roman" w:hAnsi="Times New Roman" w:cs="Times New Roman"/>
                <w:sz w:val="24"/>
                <w:szCs w:val="24"/>
              </w:rPr>
              <w:t xml:space="preserve"> Заповед № РД 09-647/03.07.2019 г. на РУО на ПР</w:t>
            </w:r>
            <w:r w:rsidR="00D2794A">
              <w:rPr>
                <w:rFonts w:ascii="Times New Roman" w:hAnsi="Times New Roman" w:cs="Times New Roman"/>
                <w:sz w:val="24"/>
                <w:szCs w:val="24"/>
              </w:rPr>
              <w:t>СР.</w:t>
            </w:r>
          </w:p>
          <w:p w:rsidR="00B1025A" w:rsidRPr="00935776" w:rsidRDefault="00E05424" w:rsidP="00935776">
            <w:pPr>
              <w:widowControl w:val="0"/>
              <w:tabs>
                <w:tab w:val="left" w:pos="567"/>
                <w:tab w:val="left" w:pos="99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 xml:space="preserve">  9</w:t>
            </w:r>
            <w:r w:rsidR="00B1025A">
              <w:rPr>
                <w:rFonts w:ascii="Times New Roman" w:hAnsi="Times New Roman" w:cs="Times New Roman"/>
                <w:sz w:val="24"/>
                <w:szCs w:val="24"/>
              </w:rPr>
              <w:t>.</w:t>
            </w:r>
            <w:r w:rsidR="00B1025A" w:rsidRPr="00EE1BF0">
              <w:rPr>
                <w:rFonts w:ascii="Times New Roman" w:hAnsi="Times New Roman" w:cs="Times New Roman"/>
                <w:sz w:val="24"/>
                <w:szCs w:val="24"/>
              </w:rPr>
              <w:t xml:space="preserve"> </w:t>
            </w:r>
            <w:r w:rsidR="00B1025A" w:rsidRPr="00B1025A">
              <w:rPr>
                <w:rFonts w:ascii="Times New Roman" w:hAnsi="Times New Roman" w:cs="Times New Roman"/>
                <w:sz w:val="24"/>
                <w:szCs w:val="24"/>
              </w:rPr>
              <w:t>Приложение № 21</w:t>
            </w:r>
            <w:r w:rsidR="00B1025A" w:rsidRPr="00EE1BF0">
              <w:rPr>
                <w:rFonts w:ascii="Times New Roman" w:hAnsi="Times New Roman" w:cs="Times New Roman"/>
                <w:sz w:val="24"/>
                <w:szCs w:val="24"/>
              </w:rPr>
              <w:t xml:space="preserve"> </w:t>
            </w:r>
            <w:r w:rsidR="00B1025A" w:rsidRPr="00B1025A">
              <w:rPr>
                <w:rFonts w:ascii="Times New Roman" w:hAnsi="Times New Roman" w:cs="Times New Roman"/>
                <w:sz w:val="24"/>
                <w:szCs w:val="24"/>
              </w:rPr>
              <w:t>Декларация за изкуствено създадени условия и/или наличие на функционална</w:t>
            </w:r>
            <w:r w:rsidR="00B1025A" w:rsidRPr="00EE1BF0">
              <w:rPr>
                <w:rFonts w:ascii="Times New Roman" w:hAnsi="Times New Roman" w:cs="Times New Roman"/>
                <w:sz w:val="24"/>
                <w:szCs w:val="24"/>
              </w:rPr>
              <w:t xml:space="preserve"> </w:t>
            </w:r>
            <w:r w:rsidR="00B1025A" w:rsidRPr="00B1025A">
              <w:rPr>
                <w:rFonts w:ascii="Times New Roman" w:hAnsi="Times New Roman" w:cs="Times New Roman"/>
                <w:sz w:val="24"/>
                <w:szCs w:val="24"/>
              </w:rPr>
              <w:t>несамостоятелност</w:t>
            </w:r>
            <w:r w:rsidR="00B1025A" w:rsidRPr="00EE1BF0">
              <w:rPr>
                <w:rFonts w:ascii="Times New Roman" w:hAnsi="Times New Roman" w:cs="Times New Roman"/>
                <w:sz w:val="24"/>
                <w:szCs w:val="24"/>
              </w:rPr>
              <w:t>.</w:t>
            </w:r>
          </w:p>
          <w:p w:rsidR="00935776" w:rsidRPr="00EE1BF0" w:rsidRDefault="00935776">
            <w:pPr>
              <w:ind w:firstLine="426"/>
              <w:jc w:val="both"/>
              <w:rPr>
                <w:rFonts w:ascii="Times New Roman" w:hAnsi="Times New Roman" w:cs="Times New Roman"/>
                <w:sz w:val="24"/>
                <w:szCs w:val="24"/>
              </w:rPr>
            </w:pPr>
          </w:p>
        </w:tc>
      </w:tr>
    </w:tbl>
    <w:p w:rsidR="00B33B36" w:rsidRDefault="00371D29">
      <w:pPr>
        <w:pStyle w:val="Heading1"/>
        <w:numPr>
          <w:ilvl w:val="0"/>
          <w:numId w:val="1"/>
        </w:numPr>
        <w:rPr>
          <w:rFonts w:ascii="Times New Roman" w:hAnsi="Times New Roman" w:cs="Times New Roman"/>
          <w:color w:val="auto"/>
        </w:rPr>
      </w:pPr>
      <w:bookmarkStart w:id="24" w:name="_Toc491427467"/>
      <w:r>
        <w:rPr>
          <w:rFonts w:ascii="Times New Roman" w:hAnsi="Times New Roman" w:cs="Times New Roman"/>
          <w:color w:val="auto"/>
        </w:rPr>
        <w:lastRenderedPageBreak/>
        <w:t>Краен срок за подаване на проектните предложения</w:t>
      </w:r>
      <w:r>
        <w:rPr>
          <w:rFonts w:ascii="Times New Roman" w:hAnsi="Times New Roman" w:cs="Times New Roman"/>
          <w:color w:val="auto"/>
          <w:vertAlign w:val="superscript"/>
        </w:rPr>
        <w:footnoteReference w:id="5"/>
      </w:r>
      <w:r>
        <w:rPr>
          <w:rFonts w:ascii="Times New Roman" w:hAnsi="Times New Roman" w:cs="Times New Roman"/>
          <w:color w:val="auto"/>
        </w:rPr>
        <w:t>:</w:t>
      </w:r>
      <w:bookmarkEnd w:id="24"/>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ind w:left="22" w:firstLine="404"/>
              <w:rPr>
                <w:rFonts w:ascii="Times New Roman" w:hAnsi="Times New Roman" w:cs="Times New Roman"/>
                <w:sz w:val="24"/>
                <w:szCs w:val="24"/>
              </w:rPr>
            </w:pPr>
            <w:r w:rsidRPr="00D22E42">
              <w:rPr>
                <w:rFonts w:ascii="Times New Roman" w:hAnsi="Times New Roman" w:cs="Times New Roman"/>
                <w:sz w:val="24"/>
                <w:szCs w:val="24"/>
              </w:rPr>
              <w:t xml:space="preserve">Крайният срок за подаване на проектно предложение по настоящата процедура е </w:t>
            </w:r>
            <w:r w:rsidR="00D22E42">
              <w:rPr>
                <w:rFonts w:ascii="Times New Roman" w:hAnsi="Times New Roman" w:cs="Times New Roman"/>
                <w:sz w:val="24"/>
                <w:szCs w:val="24"/>
                <w:lang w:val="en-US"/>
              </w:rPr>
              <w:t>20</w:t>
            </w:r>
            <w:r w:rsidR="00D22E42">
              <w:rPr>
                <w:rFonts w:ascii="Times New Roman" w:hAnsi="Times New Roman" w:cs="Times New Roman"/>
                <w:sz w:val="24"/>
                <w:szCs w:val="24"/>
              </w:rPr>
              <w:t>.12.2020</w:t>
            </w:r>
            <w:r w:rsidR="001F7ECA">
              <w:rPr>
                <w:rFonts w:ascii="Times New Roman" w:hAnsi="Times New Roman" w:cs="Times New Roman"/>
                <w:sz w:val="24"/>
                <w:szCs w:val="24"/>
              </w:rPr>
              <w:t xml:space="preserve"> </w:t>
            </w:r>
            <w:r w:rsidR="00D22E42">
              <w:rPr>
                <w:rFonts w:ascii="Times New Roman" w:hAnsi="Times New Roman" w:cs="Times New Roman"/>
                <w:sz w:val="24"/>
                <w:szCs w:val="24"/>
              </w:rPr>
              <w:t>г. до 19:00 часа</w:t>
            </w:r>
          </w:p>
          <w:p w:rsidR="004B1F84" w:rsidRPr="00B37623" w:rsidRDefault="004B1F84" w:rsidP="004B1F84">
            <w:pPr>
              <w:jc w:val="both"/>
              <w:rPr>
                <w:rFonts w:ascii="Times New Roman" w:hAnsi="Times New Roman" w:cs="Times New Roman"/>
                <w:b/>
                <w:sz w:val="24"/>
                <w:szCs w:val="24"/>
                <w:u w:val="single"/>
              </w:rPr>
            </w:pPr>
            <w:r w:rsidRPr="004B1F84">
              <w:rPr>
                <w:rFonts w:ascii="Times New Roman" w:hAnsi="Times New Roman" w:cs="Times New Roman"/>
                <w:b/>
                <w:sz w:val="24"/>
                <w:szCs w:val="24"/>
              </w:rPr>
              <w:t xml:space="preserve">      </w:t>
            </w:r>
            <w:r w:rsidRPr="00B37623">
              <w:rPr>
                <w:rFonts w:ascii="Times New Roman" w:hAnsi="Times New Roman" w:cs="Times New Roman"/>
                <w:b/>
                <w:sz w:val="24"/>
                <w:szCs w:val="24"/>
                <w:u w:val="single"/>
              </w:rPr>
              <w:t>Втори прием по подмярката:</w:t>
            </w:r>
          </w:p>
          <w:p w:rsidR="004B1F84" w:rsidRPr="00B37623" w:rsidRDefault="004B1F84" w:rsidP="004B1F84">
            <w:pPr>
              <w:jc w:val="both"/>
              <w:rPr>
                <w:rFonts w:ascii="Times New Roman" w:hAnsi="Times New Roman" w:cs="Times New Roman"/>
                <w:sz w:val="24"/>
                <w:szCs w:val="24"/>
              </w:rPr>
            </w:pPr>
            <w:r>
              <w:rPr>
                <w:rFonts w:ascii="Times New Roman" w:hAnsi="Times New Roman" w:cs="Times New Roman"/>
                <w:sz w:val="24"/>
                <w:szCs w:val="24"/>
              </w:rPr>
              <w:t xml:space="preserve">      </w:t>
            </w:r>
            <w:r w:rsidRPr="00B37623">
              <w:rPr>
                <w:rFonts w:ascii="Times New Roman" w:hAnsi="Times New Roman" w:cs="Times New Roman"/>
                <w:sz w:val="24"/>
                <w:szCs w:val="24"/>
              </w:rPr>
              <w:t>Начална дата:</w:t>
            </w:r>
            <w:r w:rsidR="007658D2">
              <w:rPr>
                <w:rFonts w:ascii="Times New Roman" w:hAnsi="Times New Roman" w:cs="Times New Roman"/>
                <w:sz w:val="24"/>
                <w:szCs w:val="24"/>
                <w:lang w:val="en-US"/>
              </w:rPr>
              <w:t xml:space="preserve"> </w:t>
            </w:r>
            <w:r w:rsidRPr="00B37623">
              <w:rPr>
                <w:rFonts w:ascii="Times New Roman" w:hAnsi="Times New Roman" w:cs="Times New Roman"/>
                <w:sz w:val="24"/>
                <w:szCs w:val="24"/>
              </w:rPr>
              <w:t>04.02.2021 година</w:t>
            </w:r>
          </w:p>
          <w:p w:rsidR="004B1F84" w:rsidRDefault="004B1F84" w:rsidP="004B1F84">
            <w:pPr>
              <w:jc w:val="both"/>
              <w:rPr>
                <w:rFonts w:ascii="Times New Roman" w:hAnsi="Times New Roman" w:cs="Times New Roman"/>
                <w:sz w:val="24"/>
                <w:szCs w:val="24"/>
              </w:rPr>
            </w:pPr>
            <w:r>
              <w:rPr>
                <w:rFonts w:ascii="Times New Roman" w:hAnsi="Times New Roman" w:cs="Times New Roman"/>
                <w:sz w:val="24"/>
                <w:szCs w:val="24"/>
              </w:rPr>
              <w:t xml:space="preserve">      </w:t>
            </w:r>
            <w:r w:rsidRPr="00B37623">
              <w:rPr>
                <w:rFonts w:ascii="Times New Roman" w:hAnsi="Times New Roman" w:cs="Times New Roman"/>
                <w:sz w:val="24"/>
                <w:szCs w:val="24"/>
              </w:rPr>
              <w:t>Крайна дата на втори прием: 19:00 часа на 31.03.2021 година</w:t>
            </w:r>
          </w:p>
          <w:p w:rsidR="004B1F84" w:rsidRDefault="004B1F84" w:rsidP="004B1F84">
            <w:pPr>
              <w:jc w:val="both"/>
              <w:rPr>
                <w:rFonts w:ascii="Times New Roman" w:hAnsi="Times New Roman" w:cs="Times New Roman"/>
                <w:sz w:val="24"/>
                <w:szCs w:val="24"/>
              </w:rPr>
            </w:pPr>
          </w:p>
          <w:p w:rsidR="004B1F84" w:rsidRPr="00B37623" w:rsidRDefault="004B1F84" w:rsidP="004B1F84">
            <w:pPr>
              <w:jc w:val="both"/>
              <w:rPr>
                <w:rFonts w:ascii="Times New Roman" w:hAnsi="Times New Roman" w:cs="Times New Roman"/>
                <w:i/>
                <w:sz w:val="24"/>
                <w:szCs w:val="24"/>
              </w:rPr>
            </w:pPr>
            <w:r>
              <w:rPr>
                <w:i/>
              </w:rPr>
              <w:t xml:space="preserve">  </w:t>
            </w:r>
            <w:r w:rsidRPr="00B37623">
              <w:rPr>
                <w:i/>
              </w:rPr>
              <w:t>Втори прием ще бъде обявен при условие, че е наличен остатъчен финансов ресурс по процедурата след приключване на първи прием или няма постъпили проектни предложения. Разполагаемият бюджет за втори прием се формира от разликата между първоначалния бюджет по процедурата и стойността на финансовата помощ по одобрените от МИГ проектни предложения от първи прием.</w:t>
            </w:r>
          </w:p>
          <w:p w:rsidR="004B1F84" w:rsidRPr="00D22E42" w:rsidRDefault="004B1F84">
            <w:pPr>
              <w:ind w:left="22" w:firstLine="404"/>
              <w:rPr>
                <w:rFonts w:ascii="Times New Roman" w:hAnsi="Times New Roman" w:cs="Times New Roman"/>
                <w:sz w:val="24"/>
                <w:szCs w:val="24"/>
              </w:rPr>
            </w:pPr>
          </w:p>
        </w:tc>
      </w:tr>
    </w:tbl>
    <w:p w:rsidR="00B33B36" w:rsidRDefault="00371D29">
      <w:pPr>
        <w:pStyle w:val="Heading1"/>
        <w:numPr>
          <w:ilvl w:val="0"/>
          <w:numId w:val="1"/>
        </w:numPr>
        <w:rPr>
          <w:rFonts w:ascii="Times New Roman" w:hAnsi="Times New Roman" w:cs="Times New Roman"/>
          <w:color w:val="auto"/>
        </w:rPr>
      </w:pPr>
      <w:bookmarkStart w:id="25" w:name="_Toc491427468"/>
      <w:r>
        <w:rPr>
          <w:rFonts w:ascii="Times New Roman" w:hAnsi="Times New Roman" w:cs="Times New Roman"/>
          <w:color w:val="auto"/>
        </w:rPr>
        <w:t>Адрес за подаване на проектните предложения/концепциите за проектни предложения</w:t>
      </w:r>
      <w:r>
        <w:rPr>
          <w:rFonts w:ascii="Times New Roman" w:hAnsi="Times New Roman" w:cs="Times New Roman"/>
          <w:color w:val="auto"/>
          <w:vertAlign w:val="superscript"/>
        </w:rPr>
        <w:footnoteReference w:id="6"/>
      </w:r>
      <w:r>
        <w:rPr>
          <w:rFonts w:ascii="Times New Roman" w:hAnsi="Times New Roman" w:cs="Times New Roman"/>
          <w:color w:val="auto"/>
        </w:rPr>
        <w:t>:</w:t>
      </w:r>
      <w:bookmarkEnd w:id="25"/>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ind w:left="22" w:firstLine="404"/>
              <w:jc w:val="both"/>
              <w:rPr>
                <w:rFonts w:ascii="Times New Roman" w:hAnsi="Times New Roman" w:cs="Times New Roman"/>
                <w:color w:val="FF0000"/>
                <w:sz w:val="24"/>
                <w:szCs w:val="24"/>
              </w:rPr>
            </w:pPr>
            <w:r>
              <w:rPr>
                <w:rFonts w:ascii="Times New Roman" w:hAnsi="Times New Roman" w:cs="Times New Roman"/>
                <w:sz w:val="24"/>
                <w:szCs w:val="24"/>
              </w:rPr>
              <w:t>Проектните предложения се подават в ИСУН.</w:t>
            </w:r>
            <w:r>
              <w:rPr>
                <w:rFonts w:ascii="Times New Roman" w:hAnsi="Times New Roman" w:cs="Times New Roman"/>
                <w:color w:val="FF0000"/>
                <w:sz w:val="24"/>
                <w:szCs w:val="24"/>
              </w:rPr>
              <w:t xml:space="preserve"> </w:t>
            </w:r>
            <w:r>
              <w:rPr>
                <w:rFonts w:ascii="Times New Roman" w:hAnsi="Times New Roman" w:cs="Times New Roman"/>
                <w:sz w:val="24"/>
              </w:rPr>
              <w:t>Интернет адресът на модула за електронно кандидатстване на ИСУН 2020 е: http://eumis2020.government.bg.</w:t>
            </w:r>
          </w:p>
        </w:tc>
      </w:tr>
    </w:tbl>
    <w:p w:rsidR="00B33B36" w:rsidRDefault="00371D29">
      <w:pPr>
        <w:pStyle w:val="Heading1"/>
        <w:numPr>
          <w:ilvl w:val="0"/>
          <w:numId w:val="1"/>
        </w:numPr>
        <w:rPr>
          <w:rFonts w:ascii="Times New Roman" w:hAnsi="Times New Roman" w:cs="Times New Roman"/>
          <w:color w:val="auto"/>
        </w:rPr>
      </w:pPr>
      <w:bookmarkStart w:id="26" w:name="_Toc491427469"/>
      <w:r>
        <w:rPr>
          <w:rFonts w:ascii="Times New Roman" w:hAnsi="Times New Roman" w:cs="Times New Roman"/>
          <w:color w:val="auto"/>
        </w:rPr>
        <w:t>Допълнителна информация:</w:t>
      </w:r>
      <w:bookmarkEnd w:id="26"/>
    </w:p>
    <w:tbl>
      <w:tblPr>
        <w:tblStyle w:val="TableGrid"/>
        <w:tblW w:w="0" w:type="auto"/>
        <w:tblLook w:val="04A0" w:firstRow="1" w:lastRow="0" w:firstColumn="1" w:lastColumn="0" w:noHBand="0" w:noVBand="1"/>
      </w:tblPr>
      <w:tblGrid>
        <w:gridCol w:w="9770"/>
      </w:tblGrid>
      <w:tr w:rsidR="00B33B36">
        <w:tc>
          <w:tcPr>
            <w:tcW w:w="9770" w:type="dxa"/>
          </w:tcPr>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В проектните предложения се съдържа най-малко следната информация:</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1. наименование на проектното предложение;</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2. данни за кандидата: ЕИК, ЕГН, ЛНЧ (Личен номер на чужденец), документ за самоличност (№, дата на издаване, валидност), данни за представляващия юридическо лице, вкл. ЕГН за представляващия (когато е приложимо), седалище (когато е приложимо), адрес по местоживеене (когато е приложимо); адрес за кореспонденция, УРН (в случай, че е издадено такова),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3. място на извършване на инвестицията (област, община, УПИ, имот, парцел, отдел, подотдел и др.);</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4. декларативна част;</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5. стойност на разходите, за които се кандидатства;</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6. стойност на субсидията, за която се кандидатства;</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 xml:space="preserve">7. стойност на разходите и субсидията на междинното плащане, в случай че се кандидатства за такова; </w:t>
            </w:r>
          </w:p>
          <w:p w:rsidR="00B33B36" w:rsidRDefault="00371D29">
            <w:pPr>
              <w:ind w:firstLine="567"/>
              <w:jc w:val="both"/>
              <w:rPr>
                <w:rFonts w:ascii="Times New Roman" w:hAnsi="Times New Roman" w:cs="Times New Roman"/>
                <w:sz w:val="24"/>
                <w:szCs w:val="24"/>
              </w:rPr>
            </w:pPr>
            <w:r>
              <w:rPr>
                <w:rFonts w:ascii="Times New Roman" w:hAnsi="Times New Roman" w:cs="Times New Roman"/>
                <w:sz w:val="24"/>
                <w:szCs w:val="24"/>
              </w:rPr>
              <w:t>8. сектор на дейността, за която се кандидатства по КИД;</w:t>
            </w:r>
          </w:p>
          <w:p w:rsidR="00B33B36" w:rsidRDefault="00371D29">
            <w:pPr>
              <w:shd w:val="clear" w:color="auto" w:fill="FEFE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код на референтен разход, за който се кандидатства.</w:t>
            </w:r>
          </w:p>
          <w:p w:rsidR="00B33B36" w:rsidRDefault="00371D29">
            <w:pPr>
              <w:shd w:val="clear" w:color="auto" w:fill="FEFE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срок от 15 календарни дни от получаване на уведомление за решение за предоставяне на безвъзмездна финансова помощ кандидатът има право да подпише административен договор.</w:t>
            </w:r>
          </w:p>
          <w:p w:rsidR="00B33B36" w:rsidRDefault="00371D29">
            <w:pPr>
              <w:shd w:val="clear" w:color="auto" w:fill="FEFE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Договорът урежда правата, задълженията и отговорностите на страните, включително изискванията, свързани със спазване на условията, въз основа на които проектът е получил </w:t>
            </w:r>
            <w:r>
              <w:rPr>
                <w:rFonts w:ascii="Times New Roman" w:hAnsi="Times New Roman" w:cs="Times New Roman"/>
                <w:sz w:val="24"/>
                <w:szCs w:val="24"/>
              </w:rPr>
              <w:lastRenderedPageBreak/>
              <w:t xml:space="preserve">приоритет, основанията за изискуемост на финансовата помощ и краен срок за започване изпълнението на дейностите и инвестициите по проекта. </w:t>
            </w:r>
          </w:p>
          <w:p w:rsidR="00B33B36" w:rsidRDefault="00371D29">
            <w:pPr>
              <w:shd w:val="clear" w:color="auto" w:fill="FEFE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Когато при обработката на заявлението за подпомагане РА или друг компетентен орган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rsidR="00B33B36" w:rsidRDefault="00371D29">
            <w:pPr>
              <w:shd w:val="clear" w:color="auto" w:fill="FEFEFE"/>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неявяване на кандидата за подписване на предложения му проект на договор за 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на следващ прием по тази подмярка.</w:t>
            </w:r>
          </w:p>
          <w:p w:rsidR="00270D31" w:rsidRPr="002F11D0" w:rsidRDefault="00270D31">
            <w:pPr>
              <w:shd w:val="clear" w:color="auto" w:fill="FEFEFE"/>
              <w:spacing w:line="276" w:lineRule="auto"/>
              <w:ind w:firstLine="567"/>
              <w:jc w:val="both"/>
              <w:rPr>
                <w:rFonts w:ascii="Times New Roman" w:hAnsi="Times New Roman" w:cs="Times New Roman"/>
                <w:sz w:val="24"/>
                <w:szCs w:val="24"/>
              </w:rPr>
            </w:pPr>
            <w:r w:rsidRPr="002F11D0">
              <w:rPr>
                <w:rFonts w:ascii="Times New Roman" w:hAnsi="Times New Roman" w:cs="Times New Roman"/>
                <w:sz w:val="24"/>
                <w:szCs w:val="24"/>
              </w:rPr>
              <w:t>При необходимост от информация и разяснения кандидатите могат да задават въпроси на елек</w:t>
            </w:r>
            <w:r w:rsidR="00471F4B" w:rsidRPr="002F11D0">
              <w:rPr>
                <w:rFonts w:ascii="Times New Roman" w:hAnsi="Times New Roman" w:cs="Times New Roman"/>
                <w:sz w:val="24"/>
                <w:szCs w:val="24"/>
              </w:rPr>
              <w:t>т</w:t>
            </w:r>
            <w:r w:rsidRPr="002F11D0">
              <w:rPr>
                <w:rFonts w:ascii="Times New Roman" w:hAnsi="Times New Roman" w:cs="Times New Roman"/>
                <w:sz w:val="24"/>
                <w:szCs w:val="24"/>
              </w:rPr>
              <w:t>ронен адрес:</w:t>
            </w:r>
            <w:r w:rsidR="002F11D0" w:rsidRPr="002F11D0">
              <w:rPr>
                <w:rFonts w:ascii="Times New Roman" w:hAnsi="Times New Roman" w:cs="Times New Roman"/>
                <w:b/>
                <w:sz w:val="24"/>
                <w:szCs w:val="24"/>
              </w:rPr>
              <w:t xml:space="preserve"> </w:t>
            </w:r>
            <w:r w:rsidR="002F11D0" w:rsidRPr="002F11D0">
              <w:rPr>
                <w:rFonts w:ascii="Times New Roman" w:hAnsi="Times New Roman" w:cs="Times New Roman"/>
                <w:sz w:val="24"/>
                <w:szCs w:val="24"/>
              </w:rPr>
              <w:t>migprespa@gmail.com</w:t>
            </w:r>
            <w:r w:rsidR="00EC06AC" w:rsidRPr="002F11D0">
              <w:rPr>
                <w:rFonts w:ascii="Times New Roman" w:hAnsi="Times New Roman" w:cs="Times New Roman"/>
                <w:sz w:val="24"/>
                <w:szCs w:val="24"/>
              </w:rPr>
              <w:t xml:space="preserve"> в срок до три седмици преди изтичането на срока за кандидатстване. </w:t>
            </w:r>
          </w:p>
          <w:p w:rsidR="00270D31" w:rsidRDefault="00270D31" w:rsidP="00270D31">
            <w:pPr>
              <w:shd w:val="clear" w:color="auto" w:fill="FEFEFE"/>
              <w:spacing w:line="276" w:lineRule="auto"/>
              <w:ind w:firstLine="567"/>
              <w:jc w:val="both"/>
              <w:rPr>
                <w:rFonts w:ascii="Times New Roman" w:hAnsi="Times New Roman" w:cs="Times New Roman"/>
                <w:sz w:val="24"/>
                <w:szCs w:val="24"/>
              </w:rPr>
            </w:pPr>
            <w:r w:rsidRPr="002F11D0">
              <w:rPr>
                <w:rFonts w:ascii="Times New Roman" w:hAnsi="Times New Roman" w:cs="Times New Roman"/>
                <w:sz w:val="24"/>
                <w:szCs w:val="24"/>
              </w:rPr>
              <w:t xml:space="preserve">Отговорите на въпросите </w:t>
            </w:r>
            <w:r w:rsidR="00EC06AC" w:rsidRPr="002F11D0">
              <w:rPr>
                <w:rFonts w:ascii="Times New Roman" w:hAnsi="Times New Roman" w:cs="Times New Roman"/>
                <w:sz w:val="24"/>
                <w:szCs w:val="24"/>
              </w:rPr>
              <w:t xml:space="preserve">и разясненията </w:t>
            </w:r>
            <w:r w:rsidRPr="002F11D0">
              <w:rPr>
                <w:rFonts w:ascii="Times New Roman" w:hAnsi="Times New Roman" w:cs="Times New Roman"/>
                <w:sz w:val="24"/>
                <w:szCs w:val="24"/>
              </w:rPr>
              <w:t xml:space="preserve">ще бъдат предоставяни </w:t>
            </w:r>
            <w:r w:rsidR="00EC06AC" w:rsidRPr="002F11D0">
              <w:rPr>
                <w:rFonts w:ascii="Times New Roman" w:hAnsi="Times New Roman" w:cs="Times New Roman"/>
                <w:sz w:val="24"/>
                <w:szCs w:val="24"/>
              </w:rPr>
              <w:t xml:space="preserve">в 10-дневен срок от получаването на искането, но не по-късно от две седмици преди изтичането на срока за кандидатстване, </w:t>
            </w:r>
            <w:r w:rsidRPr="002F11D0">
              <w:rPr>
                <w:rFonts w:ascii="Times New Roman" w:hAnsi="Times New Roman" w:cs="Times New Roman"/>
                <w:sz w:val="24"/>
                <w:szCs w:val="24"/>
              </w:rPr>
              <w:t>на интернет страницата на МИГ и в ИСУН.</w:t>
            </w:r>
          </w:p>
        </w:tc>
      </w:tr>
    </w:tbl>
    <w:p w:rsidR="00B33B36" w:rsidRDefault="00371D29">
      <w:pPr>
        <w:pStyle w:val="Heading1"/>
        <w:numPr>
          <w:ilvl w:val="0"/>
          <w:numId w:val="1"/>
        </w:numPr>
        <w:rPr>
          <w:rFonts w:ascii="Times New Roman" w:hAnsi="Times New Roman" w:cs="Times New Roman"/>
          <w:color w:val="auto"/>
        </w:rPr>
      </w:pPr>
      <w:bookmarkStart w:id="27" w:name="_Toc491427470"/>
      <w:r>
        <w:rPr>
          <w:rFonts w:ascii="Times New Roman" w:hAnsi="Times New Roman" w:cs="Times New Roman"/>
          <w:color w:val="auto"/>
        </w:rPr>
        <w:lastRenderedPageBreak/>
        <w:t>Приложения към условията за кандидатстване:</w:t>
      </w:r>
      <w:bookmarkEnd w:id="27"/>
    </w:p>
    <w:tbl>
      <w:tblPr>
        <w:tblStyle w:val="TableGrid"/>
        <w:tblW w:w="0" w:type="auto"/>
        <w:tblLook w:val="04A0" w:firstRow="1" w:lastRow="0" w:firstColumn="1" w:lastColumn="0" w:noHBand="0" w:noVBand="1"/>
      </w:tblPr>
      <w:tblGrid>
        <w:gridCol w:w="9770"/>
      </w:tblGrid>
      <w:tr w:rsidR="00B33B36">
        <w:tc>
          <w:tcPr>
            <w:tcW w:w="9770" w:type="dxa"/>
          </w:tcPr>
          <w:p w:rsidR="00B54CF4" w:rsidRDefault="00B54CF4" w:rsidP="00A009FD">
            <w:pPr>
              <w:pStyle w:val="ListParagraph"/>
              <w:tabs>
                <w:tab w:val="left" w:pos="567"/>
                <w:tab w:val="left" w:pos="993"/>
              </w:tabs>
              <w:spacing w:line="276" w:lineRule="auto"/>
              <w:ind w:left="142"/>
              <w:jc w:val="both"/>
              <w:rPr>
                <w:rFonts w:ascii="Times New Roman" w:hAnsi="Times New Roman" w:cs="Times New Roman"/>
                <w:b/>
                <w:sz w:val="24"/>
                <w:szCs w:val="24"/>
                <w:u w:val="single"/>
              </w:rPr>
            </w:pPr>
          </w:p>
          <w:p w:rsidR="00A009FD" w:rsidRPr="00A009FD" w:rsidRDefault="00A009FD" w:rsidP="00A009FD">
            <w:pPr>
              <w:pStyle w:val="ListParagraph"/>
              <w:tabs>
                <w:tab w:val="left" w:pos="567"/>
                <w:tab w:val="left" w:pos="993"/>
              </w:tabs>
              <w:spacing w:line="276" w:lineRule="auto"/>
              <w:ind w:left="142"/>
              <w:jc w:val="both"/>
              <w:rPr>
                <w:rFonts w:ascii="Times New Roman" w:hAnsi="Times New Roman" w:cs="Times New Roman"/>
                <w:b/>
                <w:sz w:val="24"/>
                <w:szCs w:val="24"/>
              </w:rPr>
            </w:pPr>
            <w:r w:rsidRPr="00A009FD">
              <w:rPr>
                <w:rFonts w:ascii="Times New Roman" w:hAnsi="Times New Roman" w:cs="Times New Roman"/>
                <w:b/>
                <w:sz w:val="24"/>
                <w:szCs w:val="24"/>
                <w:u w:val="single"/>
              </w:rPr>
              <w:t>Приложения за попълване:</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2 Описание на проектното предложение;</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 xml:space="preserve">Приложение № 3 Таблица за допустими инвестиции и дейности; </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4 Декларация чл. 19 и 20 от ЗЗЛД;</w:t>
            </w:r>
          </w:p>
          <w:p w:rsidR="008763FE"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 xml:space="preserve">Приложение № 5 </w:t>
            </w:r>
            <w:r w:rsidR="008763FE" w:rsidRPr="00125A39">
              <w:rPr>
                <w:rFonts w:ascii="Times New Roman" w:hAnsi="Times New Roman" w:cs="Times New Roman"/>
                <w:sz w:val="24"/>
                <w:szCs w:val="24"/>
              </w:rPr>
              <w:t>Декларация за липса на основание за отстраняване</w:t>
            </w:r>
            <w:r w:rsidR="005C39D8">
              <w:rPr>
                <w:rFonts w:ascii="Times New Roman" w:hAnsi="Times New Roman" w:cs="Times New Roman"/>
                <w:sz w:val="24"/>
                <w:szCs w:val="24"/>
              </w:rPr>
              <w:t>;</w:t>
            </w:r>
            <w:r w:rsidR="008763FE" w:rsidRPr="00125A39">
              <w:rPr>
                <w:rFonts w:ascii="Times New Roman" w:hAnsi="Times New Roman" w:cs="Times New Roman"/>
                <w:sz w:val="24"/>
                <w:szCs w:val="24"/>
              </w:rPr>
              <w:t xml:space="preserve"> </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6 Декларация за нередности;</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7 Анализ на социално-икономическите ползи;</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8 Анализ разходи ползи;</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9 Декларация по чл. 3 и чл. 4 от ЗМСП;</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10 Образец на запитване за оферта;</w:t>
            </w:r>
          </w:p>
          <w:p w:rsidR="00B33B36" w:rsidRPr="00435376"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 xml:space="preserve">Приложение № </w:t>
            </w:r>
            <w:r w:rsidRPr="00435376">
              <w:rPr>
                <w:rFonts w:ascii="Times New Roman" w:hAnsi="Times New Roman" w:cs="Times New Roman"/>
                <w:sz w:val="24"/>
                <w:szCs w:val="24"/>
              </w:rPr>
              <w:t>11 Декларация неприложими документи;</w:t>
            </w:r>
          </w:p>
          <w:p w:rsidR="00B33B36" w:rsidRPr="00435376"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435376">
              <w:rPr>
                <w:rFonts w:ascii="Times New Roman" w:hAnsi="Times New Roman" w:cs="Times New Roman"/>
                <w:sz w:val="24"/>
                <w:szCs w:val="24"/>
              </w:rPr>
              <w:t xml:space="preserve">Приложение № 12 Декларация </w:t>
            </w:r>
            <w:r w:rsidRPr="00435376">
              <w:rPr>
                <w:rFonts w:ascii="Times New Roman" w:hAnsi="Times New Roman" w:cs="Times New Roman"/>
                <w:sz w:val="24"/>
                <w:szCs w:val="24"/>
                <w:lang w:val="en-GB"/>
              </w:rPr>
              <w:t xml:space="preserve">de minimis </w:t>
            </w:r>
            <w:r w:rsidRPr="00435376">
              <w:rPr>
                <w:rFonts w:ascii="Times New Roman" w:hAnsi="Times New Roman" w:cs="Times New Roman"/>
                <w:sz w:val="24"/>
                <w:szCs w:val="24"/>
              </w:rPr>
              <w:t>МФ;</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13 Декларация за държавни помощи ДФЗ;</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14 Декларация минимални помощи ДФЗ;</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15 Декларация НСИ;</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16 Декларация за липса на двойно финансиране и изкуствено създадени условия;</w:t>
            </w:r>
          </w:p>
          <w:p w:rsidR="00B33B36" w:rsidRPr="00A009FD" w:rsidRDefault="00371D29">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Приложение № 17 Списък с наименованията на активите, дейностите и услугите, за които са определени референтни разходи;</w:t>
            </w:r>
          </w:p>
          <w:p w:rsidR="00B33B36" w:rsidRDefault="00371D29" w:rsidP="00253483">
            <w:pPr>
              <w:pStyle w:val="ListParagraph"/>
              <w:numPr>
                <w:ilvl w:val="0"/>
                <w:numId w:val="14"/>
              </w:numPr>
              <w:tabs>
                <w:tab w:val="left" w:pos="993"/>
                <w:tab w:val="left" w:pos="6237"/>
              </w:tabs>
              <w:spacing w:line="276" w:lineRule="auto"/>
              <w:ind w:left="0" w:firstLine="567"/>
              <w:jc w:val="both"/>
              <w:rPr>
                <w:rFonts w:ascii="Times New Roman" w:hAnsi="Times New Roman" w:cs="Times New Roman"/>
                <w:sz w:val="24"/>
                <w:szCs w:val="24"/>
              </w:rPr>
            </w:pPr>
            <w:r w:rsidRPr="00A009FD">
              <w:rPr>
                <w:rFonts w:ascii="Times New Roman" w:hAnsi="Times New Roman" w:cs="Times New Roman"/>
                <w:sz w:val="24"/>
                <w:szCs w:val="24"/>
              </w:rPr>
              <w:t xml:space="preserve">Приложение № 19 Формуляр за </w:t>
            </w:r>
            <w:r w:rsidR="00DF7241">
              <w:rPr>
                <w:rFonts w:ascii="Times New Roman" w:hAnsi="Times New Roman" w:cs="Times New Roman"/>
                <w:sz w:val="24"/>
                <w:szCs w:val="24"/>
              </w:rPr>
              <w:t>мониторинг</w:t>
            </w:r>
            <w:r w:rsidRPr="00A009FD">
              <w:rPr>
                <w:rFonts w:ascii="Times New Roman" w:hAnsi="Times New Roman" w:cs="Times New Roman"/>
                <w:sz w:val="24"/>
                <w:szCs w:val="24"/>
              </w:rPr>
              <w:t xml:space="preserve"> съгласно изискването на чл. 47, ал. 2, т. 3 на Наредба № 22.</w:t>
            </w:r>
          </w:p>
          <w:p w:rsidR="00900B20" w:rsidRPr="00272853" w:rsidRDefault="008149DC" w:rsidP="00253483">
            <w:pPr>
              <w:pStyle w:val="ListParagraph"/>
              <w:widowControl w:val="0"/>
              <w:numPr>
                <w:ilvl w:val="0"/>
                <w:numId w:val="14"/>
              </w:numPr>
              <w:tabs>
                <w:tab w:val="left" w:pos="567"/>
                <w:tab w:val="left" w:pos="993"/>
              </w:tabs>
              <w:autoSpaceDE w:val="0"/>
              <w:autoSpaceDN w:val="0"/>
              <w:adjustRightInd w:val="0"/>
              <w:spacing w:line="276" w:lineRule="auto"/>
              <w:ind w:left="0" w:firstLine="567"/>
              <w:jc w:val="both"/>
              <w:rPr>
                <w:rFonts w:ascii="Times New Roman" w:hAnsi="Times New Roman" w:cs="Times New Roman"/>
                <w:sz w:val="24"/>
                <w:szCs w:val="24"/>
              </w:rPr>
            </w:pPr>
            <w:r w:rsidRPr="00A610FF">
              <w:rPr>
                <w:rFonts w:ascii="Times New Roman" w:hAnsi="Times New Roman" w:cs="Times New Roman"/>
                <w:sz w:val="24"/>
                <w:szCs w:val="24"/>
                <w:shd w:val="clear" w:color="auto" w:fill="FFFFFF"/>
              </w:rPr>
              <w:t>Приложение №</w:t>
            </w:r>
            <w:r w:rsidR="008303FC">
              <w:rPr>
                <w:rFonts w:ascii="Times New Roman" w:hAnsi="Times New Roman" w:cs="Times New Roman"/>
                <w:sz w:val="24"/>
                <w:szCs w:val="24"/>
                <w:shd w:val="clear" w:color="auto" w:fill="FFFFFF"/>
              </w:rPr>
              <w:t xml:space="preserve"> </w:t>
            </w:r>
            <w:r w:rsidRPr="00A610FF">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 xml:space="preserve"> </w:t>
            </w:r>
            <w:r w:rsidR="00A47DE5" w:rsidRPr="006232C8">
              <w:rPr>
                <w:rFonts w:ascii="Times New Roman" w:hAnsi="Times New Roman" w:cs="Times New Roman"/>
                <w:sz w:val="24"/>
                <w:szCs w:val="24"/>
              </w:rPr>
              <w:t xml:space="preserve">Декларация за липса на свързаност,съгласно Заповед № </w:t>
            </w:r>
            <w:r w:rsidR="00A47DE5" w:rsidRPr="006232C8">
              <w:rPr>
                <w:rFonts w:ascii="Times New Roman" w:hAnsi="Times New Roman" w:cs="Times New Roman"/>
                <w:sz w:val="24"/>
                <w:szCs w:val="24"/>
                <w:shd w:val="clear" w:color="auto" w:fill="FFFFFF"/>
              </w:rPr>
              <w:t>РД 09-647/03.07.2019 г. на РУО на ПРСР</w:t>
            </w:r>
            <w:r>
              <w:rPr>
                <w:rFonts w:ascii="Times New Roman" w:hAnsi="Times New Roman" w:cs="Times New Roman"/>
                <w:sz w:val="24"/>
                <w:szCs w:val="24"/>
                <w:shd w:val="clear" w:color="auto" w:fill="FFFFFF"/>
              </w:rPr>
              <w:t>.</w:t>
            </w:r>
          </w:p>
          <w:p w:rsidR="00900B20" w:rsidRPr="00900B20" w:rsidRDefault="00900B20" w:rsidP="00253483">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4"/>
                <w:szCs w:val="24"/>
                <w:lang w:val="en-US"/>
              </w:rPr>
            </w:pPr>
            <w:r>
              <w:rPr>
                <w:rFonts w:ascii="Times New Roman" w:hAnsi="Times New Roman" w:cs="Times New Roman"/>
                <w:sz w:val="24"/>
                <w:szCs w:val="24"/>
              </w:rPr>
              <w:t xml:space="preserve">Приложение № 21 </w:t>
            </w:r>
            <w:r w:rsidRPr="00900B20">
              <w:rPr>
                <w:rFonts w:ascii="Times New Roman" w:hAnsi="Times New Roman" w:cs="Times New Roman"/>
                <w:sz w:val="24"/>
                <w:szCs w:val="24"/>
              </w:rPr>
              <w:t>Декларация за изкуствено създадени условия и/или наличие на функционална неса</w:t>
            </w:r>
            <w:r>
              <w:rPr>
                <w:rFonts w:ascii="Times New Roman" w:hAnsi="Times New Roman" w:cs="Times New Roman"/>
                <w:sz w:val="24"/>
                <w:szCs w:val="24"/>
              </w:rPr>
              <w:t>мостоятелност.</w:t>
            </w:r>
          </w:p>
          <w:p w:rsidR="00900B20" w:rsidRPr="00900B20" w:rsidRDefault="00900B20" w:rsidP="00900B20">
            <w:pPr>
              <w:widowControl w:val="0"/>
              <w:tabs>
                <w:tab w:val="left" w:pos="567"/>
                <w:tab w:val="left" w:pos="993"/>
              </w:tabs>
              <w:autoSpaceDE w:val="0"/>
              <w:autoSpaceDN w:val="0"/>
              <w:adjustRightInd w:val="0"/>
              <w:spacing w:line="276" w:lineRule="auto"/>
              <w:jc w:val="both"/>
              <w:rPr>
                <w:sz w:val="24"/>
                <w:szCs w:val="24"/>
                <w:lang w:val="en-US"/>
              </w:rPr>
            </w:pPr>
            <w:bookmarkStart w:id="28" w:name="_GoBack"/>
            <w:bookmarkEnd w:id="28"/>
          </w:p>
          <w:p w:rsidR="00B54CF4" w:rsidRDefault="00B54CF4" w:rsidP="00A47DE5">
            <w:pPr>
              <w:pStyle w:val="ListParagraph"/>
              <w:tabs>
                <w:tab w:val="left" w:pos="993"/>
              </w:tabs>
              <w:spacing w:line="276" w:lineRule="auto"/>
              <w:ind w:left="567"/>
              <w:jc w:val="both"/>
              <w:rPr>
                <w:rFonts w:ascii="Times New Roman" w:hAnsi="Times New Roman" w:cs="Times New Roman"/>
                <w:b/>
                <w:sz w:val="24"/>
                <w:szCs w:val="24"/>
                <w:u w:val="single"/>
              </w:rPr>
            </w:pPr>
          </w:p>
          <w:p w:rsidR="00B54CF4" w:rsidRDefault="00B54CF4" w:rsidP="00A47DE5">
            <w:pPr>
              <w:pStyle w:val="ListParagraph"/>
              <w:tabs>
                <w:tab w:val="left" w:pos="993"/>
              </w:tabs>
              <w:spacing w:line="276" w:lineRule="auto"/>
              <w:ind w:left="567"/>
              <w:jc w:val="both"/>
              <w:rPr>
                <w:rFonts w:ascii="Times New Roman" w:hAnsi="Times New Roman" w:cs="Times New Roman"/>
                <w:b/>
                <w:sz w:val="24"/>
                <w:szCs w:val="24"/>
                <w:u w:val="single"/>
              </w:rPr>
            </w:pPr>
          </w:p>
          <w:p w:rsidR="00B54CF4" w:rsidRDefault="00B54CF4" w:rsidP="00A47DE5">
            <w:pPr>
              <w:pStyle w:val="ListParagraph"/>
              <w:tabs>
                <w:tab w:val="left" w:pos="993"/>
              </w:tabs>
              <w:spacing w:line="276" w:lineRule="auto"/>
              <w:ind w:left="567"/>
              <w:jc w:val="both"/>
              <w:rPr>
                <w:rFonts w:ascii="Times New Roman" w:hAnsi="Times New Roman" w:cs="Times New Roman"/>
                <w:b/>
                <w:sz w:val="24"/>
                <w:szCs w:val="24"/>
                <w:u w:val="single"/>
              </w:rPr>
            </w:pPr>
          </w:p>
          <w:p w:rsidR="00B54CF4" w:rsidRDefault="00B54CF4" w:rsidP="00A47DE5">
            <w:pPr>
              <w:pStyle w:val="ListParagraph"/>
              <w:tabs>
                <w:tab w:val="left" w:pos="993"/>
              </w:tabs>
              <w:spacing w:line="276" w:lineRule="auto"/>
              <w:ind w:left="567"/>
              <w:jc w:val="both"/>
              <w:rPr>
                <w:rFonts w:ascii="Times New Roman" w:hAnsi="Times New Roman" w:cs="Times New Roman"/>
                <w:b/>
                <w:sz w:val="24"/>
                <w:szCs w:val="24"/>
                <w:u w:val="single"/>
              </w:rPr>
            </w:pPr>
          </w:p>
          <w:p w:rsidR="00A47DE5" w:rsidRPr="00EC77F6" w:rsidRDefault="00A47DE5" w:rsidP="00A47DE5">
            <w:pPr>
              <w:pStyle w:val="ListParagraph"/>
              <w:tabs>
                <w:tab w:val="left" w:pos="993"/>
              </w:tabs>
              <w:spacing w:line="276" w:lineRule="auto"/>
              <w:ind w:left="567"/>
              <w:jc w:val="both"/>
              <w:rPr>
                <w:rFonts w:ascii="Times New Roman" w:hAnsi="Times New Roman" w:cs="Times New Roman"/>
                <w:b/>
                <w:sz w:val="24"/>
                <w:szCs w:val="24"/>
                <w:u w:val="single"/>
              </w:rPr>
            </w:pPr>
            <w:r w:rsidRPr="00EC77F6">
              <w:rPr>
                <w:rFonts w:ascii="Times New Roman" w:hAnsi="Times New Roman" w:cs="Times New Roman"/>
                <w:b/>
                <w:sz w:val="24"/>
                <w:szCs w:val="24"/>
                <w:u w:val="single"/>
              </w:rPr>
              <w:t>Приложения за информация:</w:t>
            </w:r>
          </w:p>
          <w:p w:rsidR="00A47DE5" w:rsidRPr="00EC77F6" w:rsidRDefault="00A47DE5" w:rsidP="00A47DE5">
            <w:pPr>
              <w:pStyle w:val="ListParagraph"/>
              <w:widowControl w:val="0"/>
              <w:numPr>
                <w:ilvl w:val="0"/>
                <w:numId w:val="24"/>
              </w:numPr>
              <w:tabs>
                <w:tab w:val="left" w:pos="567"/>
                <w:tab w:val="left" w:pos="993"/>
              </w:tabs>
              <w:autoSpaceDE w:val="0"/>
              <w:autoSpaceDN w:val="0"/>
              <w:adjustRightInd w:val="0"/>
              <w:spacing w:line="276" w:lineRule="auto"/>
              <w:jc w:val="both"/>
              <w:rPr>
                <w:rFonts w:ascii="Times New Roman" w:hAnsi="Times New Roman" w:cs="Times New Roman"/>
                <w:sz w:val="24"/>
                <w:szCs w:val="24"/>
              </w:rPr>
            </w:pPr>
            <w:r w:rsidRPr="0095640B">
              <w:rPr>
                <w:rFonts w:ascii="Times New Roman" w:hAnsi="Times New Roman" w:cs="Times New Roman"/>
                <w:b/>
                <w:sz w:val="24"/>
                <w:szCs w:val="24"/>
              </w:rPr>
              <w:t xml:space="preserve">Приложение № </w:t>
            </w:r>
            <w:r w:rsidR="0095640B" w:rsidRPr="0095640B">
              <w:rPr>
                <w:rFonts w:ascii="Times New Roman" w:hAnsi="Times New Roman" w:cs="Times New Roman"/>
                <w:b/>
                <w:sz w:val="24"/>
                <w:szCs w:val="24"/>
              </w:rPr>
              <w:t>9</w:t>
            </w:r>
            <w:r w:rsidRPr="00EC77F6">
              <w:rPr>
                <w:rFonts w:ascii="Times New Roman" w:hAnsi="Times New Roman" w:cs="Times New Roman"/>
                <w:sz w:val="24"/>
                <w:szCs w:val="24"/>
              </w:rPr>
              <w:t xml:space="preserve"> – Указания за попълване на Декларацията за обстоятелствата по чл.3 и чл.4 от Закона за малките и средните предприятия.</w:t>
            </w:r>
          </w:p>
          <w:p w:rsidR="00A47DE5" w:rsidRPr="00A009FD" w:rsidRDefault="00A47DE5" w:rsidP="00B14A31">
            <w:pPr>
              <w:pStyle w:val="ListParagraph"/>
              <w:numPr>
                <w:ilvl w:val="0"/>
                <w:numId w:val="24"/>
              </w:numPr>
              <w:tabs>
                <w:tab w:val="left" w:pos="993"/>
                <w:tab w:val="left" w:pos="6237"/>
              </w:tabs>
              <w:spacing w:line="276" w:lineRule="auto"/>
              <w:jc w:val="both"/>
              <w:rPr>
                <w:rFonts w:ascii="Times New Roman" w:hAnsi="Times New Roman" w:cs="Times New Roman"/>
                <w:sz w:val="24"/>
                <w:szCs w:val="24"/>
              </w:rPr>
            </w:pPr>
            <w:r w:rsidRPr="00EC77F6">
              <w:rPr>
                <w:rFonts w:ascii="Times New Roman" w:hAnsi="Times New Roman" w:cs="Times New Roman"/>
                <w:b/>
                <w:sz w:val="24"/>
                <w:szCs w:val="24"/>
              </w:rPr>
              <w:t>Условия за кандидатстване</w:t>
            </w:r>
            <w:r w:rsidRPr="00EC77F6">
              <w:rPr>
                <w:rFonts w:ascii="Times New Roman" w:hAnsi="Times New Roman" w:cs="Times New Roman"/>
                <w:sz w:val="24"/>
                <w:szCs w:val="24"/>
              </w:rPr>
              <w:t xml:space="preserve"> по мярка </w:t>
            </w:r>
            <w:r>
              <w:rPr>
                <w:rFonts w:ascii="Times New Roman" w:hAnsi="Times New Roman" w:cs="Times New Roman"/>
                <w:sz w:val="24"/>
                <w:szCs w:val="24"/>
              </w:rPr>
              <w:t>7.2 „</w:t>
            </w:r>
            <w:r>
              <w:rPr>
                <w:rFonts w:ascii="Times New Roman" w:hAnsi="Times New Roman"/>
                <w:sz w:val="24"/>
                <w:szCs w:val="24"/>
              </w:rPr>
              <w:t>Инвестиции в създаването, подобряването или разширяването на всички видове малка по мащаби инфраструктура</w:t>
            </w:r>
            <w:r>
              <w:rPr>
                <w:rFonts w:ascii="Times New Roman" w:hAnsi="Times New Roman" w:cs="Times New Roman"/>
                <w:sz w:val="24"/>
                <w:szCs w:val="24"/>
              </w:rPr>
              <w:t>“</w:t>
            </w:r>
            <w:r w:rsidR="002370AB">
              <w:rPr>
                <w:rFonts w:ascii="Times New Roman" w:hAnsi="Times New Roman" w:cs="Times New Roman"/>
                <w:sz w:val="24"/>
                <w:szCs w:val="24"/>
              </w:rPr>
              <w:t>.</w:t>
            </w:r>
          </w:p>
        </w:tc>
      </w:tr>
    </w:tbl>
    <w:p w:rsidR="005766DF" w:rsidRPr="001F0D6A" w:rsidRDefault="005766DF" w:rsidP="005766DF">
      <w:pPr>
        <w:rPr>
          <w:lang w:val="en-US"/>
        </w:rPr>
      </w:pPr>
    </w:p>
    <w:p w:rsidR="005766DF" w:rsidRDefault="005766DF" w:rsidP="005766DF">
      <w:pPr>
        <w:pStyle w:val="Footer"/>
        <w:rPr>
          <w:sz w:val="16"/>
          <w:szCs w:val="16"/>
        </w:rPr>
      </w:pPr>
    </w:p>
    <w:p w:rsidR="005766DF" w:rsidRDefault="005766DF" w:rsidP="005766DF">
      <w:pPr>
        <w:pStyle w:val="Footer"/>
        <w:jc w:val="center"/>
        <w:rPr>
          <w:sz w:val="16"/>
          <w:szCs w:val="16"/>
          <w:lang w:val="en-US"/>
        </w:rPr>
      </w:pPr>
      <w:r>
        <w:rPr>
          <w:noProof/>
          <w:sz w:val="16"/>
          <w:szCs w:val="16"/>
        </w:rPr>
        <w:drawing>
          <wp:inline distT="0" distB="0" distL="0" distR="0">
            <wp:extent cx="364490" cy="459740"/>
            <wp:effectExtent l="19050" t="0" r="0" b="0"/>
            <wp:docPr id="1" name="Picture 28" descr="Ba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nite"/>
                    <pic:cNvPicPr>
                      <a:picLocks noChangeAspect="1" noChangeArrowheads="1"/>
                    </pic:cNvPicPr>
                  </pic:nvPicPr>
                  <pic:blipFill>
                    <a:blip r:embed="rId13" cstate="print"/>
                    <a:srcRect/>
                    <a:stretch>
                      <a:fillRect/>
                    </a:stretch>
                  </pic:blipFill>
                  <pic:spPr bwMode="auto">
                    <a:xfrm>
                      <a:off x="0" y="0"/>
                      <a:ext cx="364490" cy="459740"/>
                    </a:xfrm>
                    <a:prstGeom prst="rect">
                      <a:avLst/>
                    </a:prstGeom>
                    <a:noFill/>
                    <a:ln w="9525">
                      <a:noFill/>
                      <a:miter lim="800000"/>
                      <a:headEnd/>
                      <a:tailEnd/>
                    </a:ln>
                  </pic:spPr>
                </pic:pic>
              </a:graphicData>
            </a:graphic>
          </wp:inline>
        </w:drawing>
      </w:r>
      <w:r>
        <w:rPr>
          <w:sz w:val="16"/>
          <w:szCs w:val="16"/>
        </w:rPr>
        <w:t xml:space="preserve">              </w:t>
      </w:r>
      <w:r>
        <w:rPr>
          <w:noProof/>
          <w:sz w:val="16"/>
          <w:szCs w:val="16"/>
        </w:rPr>
        <w:drawing>
          <wp:inline distT="0" distB="0" distL="0" distR="0">
            <wp:extent cx="322580" cy="459740"/>
            <wp:effectExtent l="19050" t="0" r="1270" b="0"/>
            <wp:docPr id="2" name="Picture 27" descr="Luky_sig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uky_sign (1)"/>
                    <pic:cNvPicPr>
                      <a:picLocks noChangeAspect="1" noChangeArrowheads="1"/>
                    </pic:cNvPicPr>
                  </pic:nvPicPr>
                  <pic:blipFill>
                    <a:blip r:embed="rId14" cstate="print"/>
                    <a:srcRect/>
                    <a:stretch>
                      <a:fillRect/>
                    </a:stretch>
                  </pic:blipFill>
                  <pic:spPr bwMode="auto">
                    <a:xfrm>
                      <a:off x="0" y="0"/>
                      <a:ext cx="322580" cy="459740"/>
                    </a:xfrm>
                    <a:prstGeom prst="rect">
                      <a:avLst/>
                    </a:prstGeom>
                    <a:noFill/>
                    <a:ln w="9525">
                      <a:noFill/>
                      <a:miter lim="800000"/>
                      <a:headEnd/>
                      <a:tailEnd/>
                    </a:ln>
                  </pic:spPr>
                </pic:pic>
              </a:graphicData>
            </a:graphic>
          </wp:inline>
        </w:drawing>
      </w:r>
      <w:r>
        <w:rPr>
          <w:sz w:val="16"/>
          <w:szCs w:val="16"/>
        </w:rPr>
        <w:t xml:space="preserve">             </w:t>
      </w:r>
      <w:r>
        <w:rPr>
          <w:noProof/>
          <w:sz w:val="16"/>
          <w:szCs w:val="16"/>
        </w:rPr>
        <w:drawing>
          <wp:inline distT="0" distB="0" distL="0" distR="0">
            <wp:extent cx="391160" cy="518160"/>
            <wp:effectExtent l="19050" t="0" r="8890" b="0"/>
            <wp:docPr id="3" name="Picture 26" descr="chepe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pelare"/>
                    <pic:cNvPicPr>
                      <a:picLocks noChangeAspect="1" noChangeArrowheads="1"/>
                    </pic:cNvPicPr>
                  </pic:nvPicPr>
                  <pic:blipFill>
                    <a:blip r:embed="rId15" cstate="print"/>
                    <a:srcRect/>
                    <a:stretch>
                      <a:fillRect/>
                    </a:stretch>
                  </pic:blipFill>
                  <pic:spPr bwMode="auto">
                    <a:xfrm>
                      <a:off x="0" y="0"/>
                      <a:ext cx="391160" cy="518160"/>
                    </a:xfrm>
                    <a:prstGeom prst="rect">
                      <a:avLst/>
                    </a:prstGeom>
                    <a:noFill/>
                    <a:ln w="9525">
                      <a:noFill/>
                      <a:miter lim="800000"/>
                      <a:headEnd/>
                      <a:tailEnd/>
                    </a:ln>
                  </pic:spPr>
                </pic:pic>
              </a:graphicData>
            </a:graphic>
          </wp:inline>
        </w:drawing>
      </w:r>
    </w:p>
    <w:p w:rsidR="00B33B36" w:rsidRPr="00DE7488" w:rsidRDefault="005766DF" w:rsidP="00DE7488">
      <w:pPr>
        <w:jc w:val="center"/>
        <w:rPr>
          <w:lang w:val="en-US"/>
        </w:rPr>
      </w:pPr>
      <w:r>
        <w:t>Споразумение за изпълнение на Стратегия за водено от общностите местно развитие на Сдружение с нестопанска цел Местна инициативна група „Преспа“-общини Баните, Лъки и Чепеларе РД 50-144/21.10.2016година и Допълнително споразумение РД 50-144/04.07.2018година.</w:t>
      </w:r>
    </w:p>
    <w:sectPr w:rsidR="00B33B36" w:rsidRPr="00DE7488" w:rsidSect="00252B42">
      <w:footerReference w:type="default" r:id="rId18"/>
      <w:pgSz w:w="11906" w:h="16838"/>
      <w:pgMar w:top="709" w:right="1133" w:bottom="1135"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05" w:rsidRDefault="009D6105">
      <w:r>
        <w:separator/>
      </w:r>
    </w:p>
  </w:endnote>
  <w:endnote w:type="continuationSeparator" w:id="0">
    <w:p w:rsidR="009D6105" w:rsidRDefault="009D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5" w:rsidRDefault="000E3F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05" w:rsidRDefault="009D6105">
      <w:r>
        <w:separator/>
      </w:r>
    </w:p>
  </w:footnote>
  <w:footnote w:type="continuationSeparator" w:id="0">
    <w:p w:rsidR="009D6105" w:rsidRDefault="009D6105">
      <w:r>
        <w:continuationSeparator/>
      </w:r>
    </w:p>
  </w:footnote>
  <w:footnote w:id="1">
    <w:p w:rsidR="000E3F15" w:rsidRDefault="000E3F15">
      <w:pPr>
        <w:pStyle w:val="FootnoteText"/>
      </w:pPr>
      <w:r>
        <w:rPr>
          <w:rStyle w:val="FootnoteReference"/>
        </w:rPr>
        <w:footnoteRef/>
      </w:r>
      <w: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 обн. ДВ, бр. 100 от 2005 г.)</w:t>
      </w:r>
    </w:p>
  </w:footnote>
  <w:footnote w:id="2">
    <w:p w:rsidR="000E3F15" w:rsidRDefault="000E3F15">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3">
    <w:p w:rsidR="000E3F15" w:rsidRDefault="000E3F15">
      <w:pPr>
        <w:pStyle w:val="FootnoteText"/>
        <w:jc w:val="both"/>
      </w:pPr>
    </w:p>
  </w:footnote>
  <w:footnote w:id="4">
    <w:p w:rsidR="000E3F15" w:rsidRDefault="000E3F15">
      <w:pPr>
        <w:pStyle w:val="FootnoteText"/>
        <w:jc w:val="both"/>
      </w:pPr>
      <w:r>
        <w:rPr>
          <w:rStyle w:val="FootnoteReference"/>
        </w:rPr>
        <w:footnoteRef/>
      </w:r>
      <w:r>
        <w:t xml:space="preserve"> 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5">
    <w:p w:rsidR="000E3F15" w:rsidRDefault="000E3F15">
      <w:pPr>
        <w:pStyle w:val="FootnoteText"/>
        <w:jc w:val="both"/>
      </w:pPr>
      <w:r>
        <w:rPr>
          <w:rStyle w:val="FootnoteReference"/>
        </w:rPr>
        <w:footnoteRef/>
      </w:r>
      <w:r>
        <w:t xml:space="preserve"> 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6">
    <w:p w:rsidR="000E3F15" w:rsidRDefault="000E3F15">
      <w:pPr>
        <w:pStyle w:val="FootnoteText"/>
      </w:pPr>
      <w:r>
        <w:rPr>
          <w:rStyle w:val="FootnoteReference"/>
        </w:rPr>
        <w:footnoteRef/>
      </w:r>
      <w:r>
        <w:t xml:space="preserve"> При подаване на хартиен носител.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53A"/>
    <w:multiLevelType w:val="hybridMultilevel"/>
    <w:tmpl w:val="55120D3C"/>
    <w:lvl w:ilvl="0" w:tplc="0B8AEBD4">
      <w:start w:val="3"/>
      <w:numFmt w:val="decimal"/>
      <w:lvlText w:val="%1."/>
      <w:lvlJc w:val="left"/>
      <w:pPr>
        <w:ind w:left="720" w:hanging="360"/>
      </w:pPr>
    </w:lvl>
    <w:lvl w:ilvl="1" w:tplc="B5784FC0">
      <w:start w:val="1"/>
      <w:numFmt w:val="lowerLetter"/>
      <w:lvlText w:val="%2."/>
      <w:lvlJc w:val="left"/>
      <w:pPr>
        <w:ind w:left="1440" w:hanging="360"/>
      </w:pPr>
    </w:lvl>
    <w:lvl w:ilvl="2" w:tplc="C8424558">
      <w:start w:val="1"/>
      <w:numFmt w:val="lowerRoman"/>
      <w:lvlText w:val="%3."/>
      <w:lvlJc w:val="right"/>
      <w:pPr>
        <w:ind w:left="2160" w:hanging="180"/>
      </w:pPr>
    </w:lvl>
    <w:lvl w:ilvl="3" w:tplc="91C808EA">
      <w:start w:val="1"/>
      <w:numFmt w:val="decimal"/>
      <w:lvlText w:val="%4."/>
      <w:lvlJc w:val="left"/>
      <w:pPr>
        <w:ind w:left="2880" w:hanging="360"/>
      </w:pPr>
    </w:lvl>
    <w:lvl w:ilvl="4" w:tplc="6C067DD6">
      <w:start w:val="1"/>
      <w:numFmt w:val="lowerLetter"/>
      <w:lvlText w:val="%5."/>
      <w:lvlJc w:val="left"/>
      <w:pPr>
        <w:ind w:left="3600" w:hanging="360"/>
      </w:pPr>
    </w:lvl>
    <w:lvl w:ilvl="5" w:tplc="1526C234">
      <w:start w:val="1"/>
      <w:numFmt w:val="lowerRoman"/>
      <w:lvlText w:val="%6."/>
      <w:lvlJc w:val="right"/>
      <w:pPr>
        <w:ind w:left="4320" w:hanging="180"/>
      </w:pPr>
    </w:lvl>
    <w:lvl w:ilvl="6" w:tplc="D2D4A032">
      <w:start w:val="1"/>
      <w:numFmt w:val="decimal"/>
      <w:lvlText w:val="%7."/>
      <w:lvlJc w:val="left"/>
      <w:pPr>
        <w:ind w:left="5040" w:hanging="360"/>
      </w:pPr>
    </w:lvl>
    <w:lvl w:ilvl="7" w:tplc="13749556">
      <w:start w:val="1"/>
      <w:numFmt w:val="lowerLetter"/>
      <w:lvlText w:val="%8."/>
      <w:lvlJc w:val="left"/>
      <w:pPr>
        <w:ind w:left="5760" w:hanging="360"/>
      </w:pPr>
    </w:lvl>
    <w:lvl w:ilvl="8" w:tplc="6B7E3B56">
      <w:start w:val="1"/>
      <w:numFmt w:val="lowerRoman"/>
      <w:lvlText w:val="%9."/>
      <w:lvlJc w:val="right"/>
      <w:pPr>
        <w:ind w:left="6480" w:hanging="180"/>
      </w:pPr>
    </w:lvl>
  </w:abstractNum>
  <w:abstractNum w:abstractNumId="1">
    <w:nsid w:val="043E72B2"/>
    <w:multiLevelType w:val="hybridMultilevel"/>
    <w:tmpl w:val="E14A590C"/>
    <w:lvl w:ilvl="0" w:tplc="BB30A6DE">
      <w:start w:val="1"/>
      <w:numFmt w:val="bullet"/>
      <w:lvlText w:val=""/>
      <w:lvlJc w:val="left"/>
      <w:pPr>
        <w:ind w:left="1160" w:hanging="360"/>
      </w:pPr>
      <w:rPr>
        <w:rFonts w:ascii="Symbol" w:hAnsi="Symbol"/>
      </w:rPr>
    </w:lvl>
    <w:lvl w:ilvl="1" w:tplc="006A42F0">
      <w:start w:val="1"/>
      <w:numFmt w:val="bullet"/>
      <w:lvlText w:val="o"/>
      <w:lvlJc w:val="left"/>
      <w:pPr>
        <w:ind w:left="1880" w:hanging="360"/>
      </w:pPr>
      <w:rPr>
        <w:rFonts w:ascii="Courier New" w:hAnsi="Courier New" w:cs="Courier New"/>
      </w:rPr>
    </w:lvl>
    <w:lvl w:ilvl="2" w:tplc="6FB4DBF4">
      <w:start w:val="1"/>
      <w:numFmt w:val="bullet"/>
      <w:lvlText w:val=""/>
      <w:lvlJc w:val="left"/>
      <w:pPr>
        <w:ind w:left="2600" w:hanging="360"/>
      </w:pPr>
      <w:rPr>
        <w:rFonts w:ascii="Wingdings" w:hAnsi="Wingdings"/>
      </w:rPr>
    </w:lvl>
    <w:lvl w:ilvl="3" w:tplc="AE6ACAF0">
      <w:start w:val="1"/>
      <w:numFmt w:val="bullet"/>
      <w:lvlText w:val=""/>
      <w:lvlJc w:val="left"/>
      <w:pPr>
        <w:ind w:left="3320" w:hanging="360"/>
      </w:pPr>
      <w:rPr>
        <w:rFonts w:ascii="Symbol" w:hAnsi="Symbol"/>
      </w:rPr>
    </w:lvl>
    <w:lvl w:ilvl="4" w:tplc="F0AA7422">
      <w:start w:val="1"/>
      <w:numFmt w:val="bullet"/>
      <w:lvlText w:val="o"/>
      <w:lvlJc w:val="left"/>
      <w:pPr>
        <w:ind w:left="4040" w:hanging="360"/>
      </w:pPr>
      <w:rPr>
        <w:rFonts w:ascii="Courier New" w:hAnsi="Courier New" w:cs="Courier New"/>
      </w:rPr>
    </w:lvl>
    <w:lvl w:ilvl="5" w:tplc="C696DC60">
      <w:start w:val="1"/>
      <w:numFmt w:val="bullet"/>
      <w:lvlText w:val=""/>
      <w:lvlJc w:val="left"/>
      <w:pPr>
        <w:ind w:left="4760" w:hanging="360"/>
      </w:pPr>
      <w:rPr>
        <w:rFonts w:ascii="Wingdings" w:hAnsi="Wingdings"/>
      </w:rPr>
    </w:lvl>
    <w:lvl w:ilvl="6" w:tplc="E34A1FAE">
      <w:start w:val="1"/>
      <w:numFmt w:val="bullet"/>
      <w:lvlText w:val=""/>
      <w:lvlJc w:val="left"/>
      <w:pPr>
        <w:ind w:left="5480" w:hanging="360"/>
      </w:pPr>
      <w:rPr>
        <w:rFonts w:ascii="Symbol" w:hAnsi="Symbol"/>
      </w:rPr>
    </w:lvl>
    <w:lvl w:ilvl="7" w:tplc="A600F954">
      <w:start w:val="1"/>
      <w:numFmt w:val="bullet"/>
      <w:lvlText w:val="o"/>
      <w:lvlJc w:val="left"/>
      <w:pPr>
        <w:ind w:left="6200" w:hanging="360"/>
      </w:pPr>
      <w:rPr>
        <w:rFonts w:ascii="Courier New" w:hAnsi="Courier New" w:cs="Courier New"/>
      </w:rPr>
    </w:lvl>
    <w:lvl w:ilvl="8" w:tplc="D39CA8B4">
      <w:start w:val="1"/>
      <w:numFmt w:val="bullet"/>
      <w:lvlText w:val=""/>
      <w:lvlJc w:val="left"/>
      <w:pPr>
        <w:ind w:left="6920" w:hanging="360"/>
      </w:pPr>
      <w:rPr>
        <w:rFonts w:ascii="Wingdings" w:hAnsi="Wingdings"/>
      </w:rPr>
    </w:lvl>
  </w:abstractNum>
  <w:abstractNum w:abstractNumId="2">
    <w:nsid w:val="091D3F9D"/>
    <w:multiLevelType w:val="hybridMultilevel"/>
    <w:tmpl w:val="3E48B634"/>
    <w:lvl w:ilvl="0" w:tplc="6D46B95A">
      <w:start w:val="1"/>
      <w:numFmt w:val="bullet"/>
      <w:lvlText w:val=""/>
      <w:lvlJc w:val="left"/>
      <w:pPr>
        <w:ind w:left="1440" w:hanging="360"/>
      </w:pPr>
      <w:rPr>
        <w:rFonts w:ascii="Wingdings" w:hAnsi="Wingdings"/>
      </w:rPr>
    </w:lvl>
    <w:lvl w:ilvl="1" w:tplc="4CD0337E">
      <w:start w:val="1"/>
      <w:numFmt w:val="bullet"/>
      <w:lvlText w:val="o"/>
      <w:lvlJc w:val="left"/>
      <w:pPr>
        <w:ind w:left="2160" w:hanging="360"/>
      </w:pPr>
      <w:rPr>
        <w:rFonts w:ascii="Courier New" w:hAnsi="Courier New" w:cs="Courier New"/>
      </w:rPr>
    </w:lvl>
    <w:lvl w:ilvl="2" w:tplc="D15062F0">
      <w:start w:val="1"/>
      <w:numFmt w:val="bullet"/>
      <w:lvlText w:val=""/>
      <w:lvlJc w:val="left"/>
      <w:pPr>
        <w:ind w:left="2880" w:hanging="360"/>
      </w:pPr>
      <w:rPr>
        <w:rFonts w:ascii="Wingdings" w:hAnsi="Wingdings"/>
      </w:rPr>
    </w:lvl>
    <w:lvl w:ilvl="3" w:tplc="241CB16C">
      <w:start w:val="1"/>
      <w:numFmt w:val="bullet"/>
      <w:lvlText w:val=""/>
      <w:lvlJc w:val="left"/>
      <w:pPr>
        <w:ind w:left="3600" w:hanging="360"/>
      </w:pPr>
      <w:rPr>
        <w:rFonts w:ascii="Symbol" w:hAnsi="Symbol"/>
      </w:rPr>
    </w:lvl>
    <w:lvl w:ilvl="4" w:tplc="EB3E49FE">
      <w:start w:val="1"/>
      <w:numFmt w:val="bullet"/>
      <w:lvlText w:val="o"/>
      <w:lvlJc w:val="left"/>
      <w:pPr>
        <w:ind w:left="4320" w:hanging="360"/>
      </w:pPr>
      <w:rPr>
        <w:rFonts w:ascii="Courier New" w:hAnsi="Courier New" w:cs="Courier New"/>
      </w:rPr>
    </w:lvl>
    <w:lvl w:ilvl="5" w:tplc="00B4680C">
      <w:start w:val="1"/>
      <w:numFmt w:val="bullet"/>
      <w:lvlText w:val=""/>
      <w:lvlJc w:val="left"/>
      <w:pPr>
        <w:ind w:left="5040" w:hanging="360"/>
      </w:pPr>
      <w:rPr>
        <w:rFonts w:ascii="Wingdings" w:hAnsi="Wingdings"/>
      </w:rPr>
    </w:lvl>
    <w:lvl w:ilvl="6" w:tplc="13143912">
      <w:start w:val="1"/>
      <w:numFmt w:val="bullet"/>
      <w:lvlText w:val=""/>
      <w:lvlJc w:val="left"/>
      <w:pPr>
        <w:ind w:left="5760" w:hanging="360"/>
      </w:pPr>
      <w:rPr>
        <w:rFonts w:ascii="Symbol" w:hAnsi="Symbol"/>
      </w:rPr>
    </w:lvl>
    <w:lvl w:ilvl="7" w:tplc="E27082EA">
      <w:start w:val="1"/>
      <w:numFmt w:val="bullet"/>
      <w:lvlText w:val="o"/>
      <w:lvlJc w:val="left"/>
      <w:pPr>
        <w:ind w:left="6480" w:hanging="360"/>
      </w:pPr>
      <w:rPr>
        <w:rFonts w:ascii="Courier New" w:hAnsi="Courier New" w:cs="Courier New"/>
      </w:rPr>
    </w:lvl>
    <w:lvl w:ilvl="8" w:tplc="C3229ED4">
      <w:start w:val="1"/>
      <w:numFmt w:val="bullet"/>
      <w:lvlText w:val=""/>
      <w:lvlJc w:val="left"/>
      <w:pPr>
        <w:ind w:left="7200" w:hanging="360"/>
      </w:pPr>
      <w:rPr>
        <w:rFonts w:ascii="Wingdings" w:hAnsi="Wingdings"/>
      </w:rPr>
    </w:lvl>
  </w:abstractNum>
  <w:abstractNum w:abstractNumId="3">
    <w:nsid w:val="0A4B1E5F"/>
    <w:multiLevelType w:val="hybridMultilevel"/>
    <w:tmpl w:val="B5DAF6AC"/>
    <w:lvl w:ilvl="0" w:tplc="ECF2B81E">
      <w:start w:val="1"/>
      <w:numFmt w:val="decimal"/>
      <w:lvlText w:val="%1."/>
      <w:lvlJc w:val="left"/>
      <w:pPr>
        <w:ind w:left="375" w:hanging="360"/>
      </w:pPr>
      <w:rPr>
        <w:i w:val="0"/>
      </w:rPr>
    </w:lvl>
    <w:lvl w:ilvl="1" w:tplc="E4762408">
      <w:start w:val="1"/>
      <w:numFmt w:val="lowerLetter"/>
      <w:lvlText w:val="%2."/>
      <w:lvlJc w:val="left"/>
      <w:pPr>
        <w:ind w:left="1095" w:hanging="360"/>
      </w:pPr>
    </w:lvl>
    <w:lvl w:ilvl="2" w:tplc="C4E03B40">
      <w:start w:val="1"/>
      <w:numFmt w:val="lowerRoman"/>
      <w:lvlText w:val="%3."/>
      <w:lvlJc w:val="right"/>
      <w:pPr>
        <w:ind w:left="1815" w:hanging="180"/>
      </w:pPr>
    </w:lvl>
    <w:lvl w:ilvl="3" w:tplc="75AEFC0C">
      <w:start w:val="1"/>
      <w:numFmt w:val="decimal"/>
      <w:lvlText w:val="%4."/>
      <w:lvlJc w:val="left"/>
      <w:pPr>
        <w:ind w:left="2535" w:hanging="360"/>
      </w:pPr>
    </w:lvl>
    <w:lvl w:ilvl="4" w:tplc="1F7A112A">
      <w:start w:val="1"/>
      <w:numFmt w:val="lowerLetter"/>
      <w:lvlText w:val="%5."/>
      <w:lvlJc w:val="left"/>
      <w:pPr>
        <w:ind w:left="3255" w:hanging="360"/>
      </w:pPr>
    </w:lvl>
    <w:lvl w:ilvl="5" w:tplc="CC989B9E">
      <w:start w:val="1"/>
      <w:numFmt w:val="lowerRoman"/>
      <w:lvlText w:val="%6."/>
      <w:lvlJc w:val="right"/>
      <w:pPr>
        <w:ind w:left="3975" w:hanging="180"/>
      </w:pPr>
    </w:lvl>
    <w:lvl w:ilvl="6" w:tplc="68922B98">
      <w:start w:val="1"/>
      <w:numFmt w:val="decimal"/>
      <w:lvlText w:val="%7."/>
      <w:lvlJc w:val="left"/>
      <w:pPr>
        <w:ind w:left="4695" w:hanging="360"/>
      </w:pPr>
    </w:lvl>
    <w:lvl w:ilvl="7" w:tplc="CE843EF4">
      <w:start w:val="1"/>
      <w:numFmt w:val="lowerLetter"/>
      <w:lvlText w:val="%8."/>
      <w:lvlJc w:val="left"/>
      <w:pPr>
        <w:ind w:left="5415" w:hanging="360"/>
      </w:pPr>
    </w:lvl>
    <w:lvl w:ilvl="8" w:tplc="8B20B3C8">
      <w:start w:val="1"/>
      <w:numFmt w:val="lowerRoman"/>
      <w:lvlText w:val="%9."/>
      <w:lvlJc w:val="right"/>
      <w:pPr>
        <w:ind w:left="6135" w:hanging="180"/>
      </w:pPr>
    </w:lvl>
  </w:abstractNum>
  <w:abstractNum w:abstractNumId="4">
    <w:nsid w:val="0A5056C5"/>
    <w:multiLevelType w:val="hybridMultilevel"/>
    <w:tmpl w:val="0310C744"/>
    <w:lvl w:ilvl="0" w:tplc="21B8FFAA">
      <w:start w:val="1"/>
      <w:numFmt w:val="bullet"/>
      <w:lvlText w:val=""/>
      <w:lvlJc w:val="left"/>
      <w:pPr>
        <w:ind w:left="720" w:hanging="360"/>
      </w:pPr>
      <w:rPr>
        <w:rFonts w:ascii="Symbol" w:hAnsi="Symbol"/>
      </w:rPr>
    </w:lvl>
    <w:lvl w:ilvl="1" w:tplc="C41CE238">
      <w:start w:val="1"/>
      <w:numFmt w:val="bullet"/>
      <w:lvlText w:val="o"/>
      <w:lvlJc w:val="left"/>
      <w:pPr>
        <w:ind w:left="1440" w:hanging="360"/>
      </w:pPr>
      <w:rPr>
        <w:rFonts w:ascii="Courier New" w:hAnsi="Courier New" w:cs="Courier New"/>
      </w:rPr>
    </w:lvl>
    <w:lvl w:ilvl="2" w:tplc="0BA8A0A4">
      <w:start w:val="1"/>
      <w:numFmt w:val="bullet"/>
      <w:lvlText w:val=""/>
      <w:lvlJc w:val="left"/>
      <w:pPr>
        <w:ind w:left="2160" w:hanging="360"/>
      </w:pPr>
      <w:rPr>
        <w:rFonts w:ascii="Wingdings" w:hAnsi="Wingdings"/>
      </w:rPr>
    </w:lvl>
    <w:lvl w:ilvl="3" w:tplc="605299D6">
      <w:start w:val="1"/>
      <w:numFmt w:val="bullet"/>
      <w:lvlText w:val=""/>
      <w:lvlJc w:val="left"/>
      <w:pPr>
        <w:ind w:left="2880" w:hanging="360"/>
      </w:pPr>
      <w:rPr>
        <w:rFonts w:ascii="Symbol" w:hAnsi="Symbol"/>
      </w:rPr>
    </w:lvl>
    <w:lvl w:ilvl="4" w:tplc="4D923FAE">
      <w:start w:val="1"/>
      <w:numFmt w:val="bullet"/>
      <w:lvlText w:val="o"/>
      <w:lvlJc w:val="left"/>
      <w:pPr>
        <w:ind w:left="3600" w:hanging="360"/>
      </w:pPr>
      <w:rPr>
        <w:rFonts w:ascii="Courier New" w:hAnsi="Courier New" w:cs="Courier New"/>
      </w:rPr>
    </w:lvl>
    <w:lvl w:ilvl="5" w:tplc="7B7A85AE">
      <w:start w:val="1"/>
      <w:numFmt w:val="bullet"/>
      <w:lvlText w:val=""/>
      <w:lvlJc w:val="left"/>
      <w:pPr>
        <w:ind w:left="4320" w:hanging="360"/>
      </w:pPr>
      <w:rPr>
        <w:rFonts w:ascii="Wingdings" w:hAnsi="Wingdings"/>
      </w:rPr>
    </w:lvl>
    <w:lvl w:ilvl="6" w:tplc="D338B58E">
      <w:start w:val="1"/>
      <w:numFmt w:val="bullet"/>
      <w:lvlText w:val=""/>
      <w:lvlJc w:val="left"/>
      <w:pPr>
        <w:ind w:left="5040" w:hanging="360"/>
      </w:pPr>
      <w:rPr>
        <w:rFonts w:ascii="Symbol" w:hAnsi="Symbol"/>
      </w:rPr>
    </w:lvl>
    <w:lvl w:ilvl="7" w:tplc="9CBC6EA8">
      <w:start w:val="1"/>
      <w:numFmt w:val="bullet"/>
      <w:lvlText w:val="o"/>
      <w:lvlJc w:val="left"/>
      <w:pPr>
        <w:ind w:left="5760" w:hanging="360"/>
      </w:pPr>
      <w:rPr>
        <w:rFonts w:ascii="Courier New" w:hAnsi="Courier New" w:cs="Courier New"/>
      </w:rPr>
    </w:lvl>
    <w:lvl w:ilvl="8" w:tplc="A8FA07A6">
      <w:start w:val="1"/>
      <w:numFmt w:val="bullet"/>
      <w:lvlText w:val=""/>
      <w:lvlJc w:val="left"/>
      <w:pPr>
        <w:ind w:left="6480" w:hanging="360"/>
      </w:pPr>
      <w:rPr>
        <w:rFonts w:ascii="Wingdings" w:hAnsi="Wingdings"/>
      </w:rPr>
    </w:lvl>
  </w:abstractNum>
  <w:abstractNum w:abstractNumId="5">
    <w:nsid w:val="13253855"/>
    <w:multiLevelType w:val="hybridMultilevel"/>
    <w:tmpl w:val="89A88C64"/>
    <w:lvl w:ilvl="0" w:tplc="5DA4B9A6">
      <w:start w:val="1"/>
      <w:numFmt w:val="decimal"/>
      <w:lvlText w:val="%1."/>
      <w:lvlJc w:val="left"/>
      <w:pPr>
        <w:ind w:left="992" w:hanging="708"/>
      </w:pPr>
      <w:rPr>
        <w:sz w:val="32"/>
      </w:rPr>
    </w:lvl>
    <w:lvl w:ilvl="1" w:tplc="B47A378A">
      <w:numFmt w:val="bullet"/>
      <w:lvlText w:val="•"/>
      <w:lvlJc w:val="left"/>
      <w:pPr>
        <w:ind w:left="1476" w:hanging="396"/>
      </w:pPr>
      <w:rPr>
        <w:rFonts w:ascii="Times New Roman" w:eastAsia="Times New Roman" w:hAnsi="Times New Roman" w:cs="Times New Roman"/>
      </w:rPr>
    </w:lvl>
    <w:lvl w:ilvl="2" w:tplc="2ECA7C9A">
      <w:start w:val="1"/>
      <w:numFmt w:val="lowerRoman"/>
      <w:lvlText w:val="%3."/>
      <w:lvlJc w:val="right"/>
      <w:pPr>
        <w:ind w:left="2160" w:hanging="180"/>
      </w:pPr>
    </w:lvl>
    <w:lvl w:ilvl="3" w:tplc="AB682DD4">
      <w:start w:val="1"/>
      <w:numFmt w:val="decimal"/>
      <w:lvlText w:val="%4."/>
      <w:lvlJc w:val="left"/>
      <w:pPr>
        <w:ind w:left="2880" w:hanging="360"/>
      </w:pPr>
    </w:lvl>
    <w:lvl w:ilvl="4" w:tplc="849A7EBC">
      <w:start w:val="1"/>
      <w:numFmt w:val="lowerLetter"/>
      <w:lvlText w:val="%5."/>
      <w:lvlJc w:val="left"/>
      <w:pPr>
        <w:ind w:left="3600" w:hanging="360"/>
      </w:pPr>
    </w:lvl>
    <w:lvl w:ilvl="5" w:tplc="7F24E802">
      <w:start w:val="1"/>
      <w:numFmt w:val="lowerRoman"/>
      <w:lvlText w:val="%6."/>
      <w:lvlJc w:val="right"/>
      <w:pPr>
        <w:ind w:left="4320" w:hanging="180"/>
      </w:pPr>
    </w:lvl>
    <w:lvl w:ilvl="6" w:tplc="2692074A">
      <w:start w:val="1"/>
      <w:numFmt w:val="decimal"/>
      <w:lvlText w:val="%7."/>
      <w:lvlJc w:val="left"/>
      <w:pPr>
        <w:ind w:left="5040" w:hanging="360"/>
      </w:pPr>
    </w:lvl>
    <w:lvl w:ilvl="7" w:tplc="FCF29C0E">
      <w:start w:val="1"/>
      <w:numFmt w:val="lowerLetter"/>
      <w:lvlText w:val="%8."/>
      <w:lvlJc w:val="left"/>
      <w:pPr>
        <w:ind w:left="5760" w:hanging="360"/>
      </w:pPr>
    </w:lvl>
    <w:lvl w:ilvl="8" w:tplc="2F427616">
      <w:start w:val="1"/>
      <w:numFmt w:val="lowerRoman"/>
      <w:lvlText w:val="%9."/>
      <w:lvlJc w:val="right"/>
      <w:pPr>
        <w:ind w:left="6480" w:hanging="180"/>
      </w:pPr>
    </w:lvl>
  </w:abstractNum>
  <w:abstractNum w:abstractNumId="6">
    <w:nsid w:val="23B05BD0"/>
    <w:multiLevelType w:val="hybridMultilevel"/>
    <w:tmpl w:val="E9BA4898"/>
    <w:lvl w:ilvl="0" w:tplc="486E2822">
      <w:start w:val="1"/>
      <w:numFmt w:val="decimal"/>
      <w:lvlText w:val="%1."/>
      <w:lvlJc w:val="left"/>
      <w:pPr>
        <w:ind w:left="1287" w:hanging="360"/>
      </w:pPr>
      <w:rPr>
        <w:i w:val="0"/>
      </w:rPr>
    </w:lvl>
    <w:lvl w:ilvl="1" w:tplc="0EBCA678">
      <w:start w:val="1"/>
      <w:numFmt w:val="lowerLetter"/>
      <w:lvlText w:val="%2."/>
      <w:lvlJc w:val="left"/>
      <w:pPr>
        <w:ind w:left="2007" w:hanging="360"/>
      </w:pPr>
    </w:lvl>
    <w:lvl w:ilvl="2" w:tplc="B9B4B052">
      <w:start w:val="1"/>
      <w:numFmt w:val="lowerRoman"/>
      <w:lvlText w:val="%3."/>
      <w:lvlJc w:val="right"/>
      <w:pPr>
        <w:ind w:left="2727" w:hanging="180"/>
      </w:pPr>
    </w:lvl>
    <w:lvl w:ilvl="3" w:tplc="DAA8FAD0">
      <w:start w:val="1"/>
      <w:numFmt w:val="decimal"/>
      <w:lvlText w:val="%4."/>
      <w:lvlJc w:val="left"/>
      <w:pPr>
        <w:ind w:left="3447" w:hanging="360"/>
      </w:pPr>
    </w:lvl>
    <w:lvl w:ilvl="4" w:tplc="B034591C">
      <w:start w:val="1"/>
      <w:numFmt w:val="lowerLetter"/>
      <w:lvlText w:val="%5."/>
      <w:lvlJc w:val="left"/>
      <w:pPr>
        <w:ind w:left="4167" w:hanging="360"/>
      </w:pPr>
    </w:lvl>
    <w:lvl w:ilvl="5" w:tplc="F168AD4E">
      <w:start w:val="1"/>
      <w:numFmt w:val="lowerRoman"/>
      <w:lvlText w:val="%6."/>
      <w:lvlJc w:val="right"/>
      <w:pPr>
        <w:ind w:left="4887" w:hanging="180"/>
      </w:pPr>
    </w:lvl>
    <w:lvl w:ilvl="6" w:tplc="FAA67C22">
      <w:start w:val="1"/>
      <w:numFmt w:val="decimal"/>
      <w:lvlText w:val="%7."/>
      <w:lvlJc w:val="left"/>
      <w:pPr>
        <w:ind w:left="5607" w:hanging="360"/>
      </w:pPr>
    </w:lvl>
    <w:lvl w:ilvl="7" w:tplc="B8204F7E">
      <w:start w:val="1"/>
      <w:numFmt w:val="lowerLetter"/>
      <w:lvlText w:val="%8."/>
      <w:lvlJc w:val="left"/>
      <w:pPr>
        <w:ind w:left="6327" w:hanging="360"/>
      </w:pPr>
    </w:lvl>
    <w:lvl w:ilvl="8" w:tplc="2D0EC504">
      <w:start w:val="1"/>
      <w:numFmt w:val="lowerRoman"/>
      <w:lvlText w:val="%9."/>
      <w:lvlJc w:val="right"/>
      <w:pPr>
        <w:ind w:left="7047" w:hanging="180"/>
      </w:pPr>
    </w:lvl>
  </w:abstractNum>
  <w:abstractNum w:abstractNumId="7">
    <w:nsid w:val="250275E3"/>
    <w:multiLevelType w:val="hybridMultilevel"/>
    <w:tmpl w:val="2D6AB8E0"/>
    <w:lvl w:ilvl="0" w:tplc="0DB40CE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B2447"/>
    <w:multiLevelType w:val="hybridMultilevel"/>
    <w:tmpl w:val="C07E505E"/>
    <w:lvl w:ilvl="0" w:tplc="B380AEAC">
      <w:start w:val="1"/>
      <w:numFmt w:val="decimal"/>
      <w:lvlText w:val="%1."/>
      <w:lvlJc w:val="left"/>
      <w:pPr>
        <w:ind w:left="644" w:hanging="360"/>
      </w:pPr>
    </w:lvl>
    <w:lvl w:ilvl="1" w:tplc="84287DA2">
      <w:start w:val="1"/>
      <w:numFmt w:val="lowerLetter"/>
      <w:lvlText w:val="%2."/>
      <w:lvlJc w:val="left"/>
      <w:pPr>
        <w:ind w:left="1364" w:hanging="360"/>
      </w:pPr>
    </w:lvl>
    <w:lvl w:ilvl="2" w:tplc="42AC18F6">
      <w:start w:val="1"/>
      <w:numFmt w:val="lowerRoman"/>
      <w:lvlText w:val="%3."/>
      <w:lvlJc w:val="right"/>
      <w:pPr>
        <w:ind w:left="2084" w:hanging="180"/>
      </w:pPr>
    </w:lvl>
    <w:lvl w:ilvl="3" w:tplc="D34CB82C">
      <w:start w:val="1"/>
      <w:numFmt w:val="decimal"/>
      <w:lvlText w:val="%4."/>
      <w:lvlJc w:val="left"/>
      <w:pPr>
        <w:ind w:left="2804" w:hanging="360"/>
      </w:pPr>
    </w:lvl>
    <w:lvl w:ilvl="4" w:tplc="21122AD4">
      <w:start w:val="1"/>
      <w:numFmt w:val="lowerLetter"/>
      <w:lvlText w:val="%5."/>
      <w:lvlJc w:val="left"/>
      <w:pPr>
        <w:ind w:left="3524" w:hanging="360"/>
      </w:pPr>
    </w:lvl>
    <w:lvl w:ilvl="5" w:tplc="5524AEA4">
      <w:start w:val="1"/>
      <w:numFmt w:val="lowerRoman"/>
      <w:lvlText w:val="%6."/>
      <w:lvlJc w:val="right"/>
      <w:pPr>
        <w:ind w:left="4244" w:hanging="180"/>
      </w:pPr>
    </w:lvl>
    <w:lvl w:ilvl="6" w:tplc="7F904FC8">
      <w:start w:val="1"/>
      <w:numFmt w:val="decimal"/>
      <w:lvlText w:val="%7."/>
      <w:lvlJc w:val="left"/>
      <w:pPr>
        <w:ind w:left="4964" w:hanging="360"/>
      </w:pPr>
    </w:lvl>
    <w:lvl w:ilvl="7" w:tplc="2B3AA8EE">
      <w:start w:val="1"/>
      <w:numFmt w:val="lowerLetter"/>
      <w:lvlText w:val="%8."/>
      <w:lvlJc w:val="left"/>
      <w:pPr>
        <w:ind w:left="5684" w:hanging="360"/>
      </w:pPr>
    </w:lvl>
    <w:lvl w:ilvl="8" w:tplc="1DF4861A">
      <w:start w:val="1"/>
      <w:numFmt w:val="lowerRoman"/>
      <w:lvlText w:val="%9."/>
      <w:lvlJc w:val="right"/>
      <w:pPr>
        <w:ind w:left="6404" w:hanging="180"/>
      </w:pPr>
    </w:lvl>
  </w:abstractNum>
  <w:abstractNum w:abstractNumId="9">
    <w:nsid w:val="2F9A6EDA"/>
    <w:multiLevelType w:val="hybridMultilevel"/>
    <w:tmpl w:val="CE226DE0"/>
    <w:lvl w:ilvl="0" w:tplc="8E90BA54">
      <w:numFmt w:val="bullet"/>
      <w:lvlText w:val="-"/>
      <w:lvlJc w:val="left"/>
      <w:pPr>
        <w:ind w:left="720" w:hanging="360"/>
      </w:pPr>
      <w:rPr>
        <w:rFonts w:ascii="Times New Roman" w:eastAsia="Times New Roman" w:hAnsi="Times New Roman" w:cs="Times New Roman"/>
      </w:rPr>
    </w:lvl>
    <w:lvl w:ilvl="1" w:tplc="B09AB010">
      <w:start w:val="1"/>
      <w:numFmt w:val="bullet"/>
      <w:lvlText w:val="o"/>
      <w:lvlJc w:val="left"/>
      <w:pPr>
        <w:ind w:left="1440" w:hanging="360"/>
      </w:pPr>
      <w:rPr>
        <w:rFonts w:ascii="Courier New" w:hAnsi="Courier New" w:cs="Courier New"/>
      </w:rPr>
    </w:lvl>
    <w:lvl w:ilvl="2" w:tplc="EAE4DCFA">
      <w:start w:val="1"/>
      <w:numFmt w:val="bullet"/>
      <w:lvlText w:val=""/>
      <w:lvlJc w:val="left"/>
      <w:pPr>
        <w:ind w:left="2160" w:hanging="360"/>
      </w:pPr>
      <w:rPr>
        <w:rFonts w:ascii="Wingdings" w:hAnsi="Wingdings"/>
      </w:rPr>
    </w:lvl>
    <w:lvl w:ilvl="3" w:tplc="11286DE0">
      <w:start w:val="1"/>
      <w:numFmt w:val="bullet"/>
      <w:lvlText w:val=""/>
      <w:lvlJc w:val="left"/>
      <w:pPr>
        <w:ind w:left="2880" w:hanging="360"/>
      </w:pPr>
      <w:rPr>
        <w:rFonts w:ascii="Symbol" w:hAnsi="Symbol"/>
      </w:rPr>
    </w:lvl>
    <w:lvl w:ilvl="4" w:tplc="885A5A8E">
      <w:start w:val="1"/>
      <w:numFmt w:val="bullet"/>
      <w:lvlText w:val="o"/>
      <w:lvlJc w:val="left"/>
      <w:pPr>
        <w:ind w:left="3600" w:hanging="360"/>
      </w:pPr>
      <w:rPr>
        <w:rFonts w:ascii="Courier New" w:hAnsi="Courier New" w:cs="Courier New"/>
      </w:rPr>
    </w:lvl>
    <w:lvl w:ilvl="5" w:tplc="82080F62">
      <w:start w:val="1"/>
      <w:numFmt w:val="bullet"/>
      <w:lvlText w:val=""/>
      <w:lvlJc w:val="left"/>
      <w:pPr>
        <w:ind w:left="4320" w:hanging="360"/>
      </w:pPr>
      <w:rPr>
        <w:rFonts w:ascii="Wingdings" w:hAnsi="Wingdings"/>
      </w:rPr>
    </w:lvl>
    <w:lvl w:ilvl="6" w:tplc="706C7AC4">
      <w:start w:val="1"/>
      <w:numFmt w:val="bullet"/>
      <w:lvlText w:val=""/>
      <w:lvlJc w:val="left"/>
      <w:pPr>
        <w:ind w:left="5040" w:hanging="360"/>
      </w:pPr>
      <w:rPr>
        <w:rFonts w:ascii="Symbol" w:hAnsi="Symbol"/>
      </w:rPr>
    </w:lvl>
    <w:lvl w:ilvl="7" w:tplc="3A7C34F2">
      <w:start w:val="1"/>
      <w:numFmt w:val="bullet"/>
      <w:lvlText w:val="o"/>
      <w:lvlJc w:val="left"/>
      <w:pPr>
        <w:ind w:left="5760" w:hanging="360"/>
      </w:pPr>
      <w:rPr>
        <w:rFonts w:ascii="Courier New" w:hAnsi="Courier New" w:cs="Courier New"/>
      </w:rPr>
    </w:lvl>
    <w:lvl w:ilvl="8" w:tplc="8B547A44">
      <w:start w:val="1"/>
      <w:numFmt w:val="bullet"/>
      <w:lvlText w:val=""/>
      <w:lvlJc w:val="left"/>
      <w:pPr>
        <w:ind w:left="6480" w:hanging="360"/>
      </w:pPr>
      <w:rPr>
        <w:rFonts w:ascii="Wingdings" w:hAnsi="Wingdings"/>
      </w:rPr>
    </w:lvl>
  </w:abstractNum>
  <w:abstractNum w:abstractNumId="10">
    <w:nsid w:val="34485FF4"/>
    <w:multiLevelType w:val="hybridMultilevel"/>
    <w:tmpl w:val="38B4C288"/>
    <w:lvl w:ilvl="0" w:tplc="EC88D8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C001560"/>
    <w:multiLevelType w:val="hybridMultilevel"/>
    <w:tmpl w:val="5B6CCA30"/>
    <w:lvl w:ilvl="0" w:tplc="22DC92D6">
      <w:start w:val="1"/>
      <w:numFmt w:val="decimal"/>
      <w:lvlText w:val="%1."/>
      <w:lvlJc w:val="left"/>
      <w:pPr>
        <w:ind w:left="961" w:hanging="360"/>
      </w:pPr>
    </w:lvl>
    <w:lvl w:ilvl="1" w:tplc="AD24C34E">
      <w:start w:val="1"/>
      <w:numFmt w:val="lowerLetter"/>
      <w:lvlText w:val="%2."/>
      <w:lvlJc w:val="left"/>
      <w:pPr>
        <w:ind w:left="1681" w:hanging="360"/>
      </w:pPr>
    </w:lvl>
    <w:lvl w:ilvl="2" w:tplc="41E437AC">
      <w:start w:val="1"/>
      <w:numFmt w:val="lowerRoman"/>
      <w:lvlText w:val="%3."/>
      <w:lvlJc w:val="right"/>
      <w:pPr>
        <w:ind w:left="2401" w:hanging="180"/>
      </w:pPr>
    </w:lvl>
    <w:lvl w:ilvl="3" w:tplc="175EE5E2">
      <w:start w:val="1"/>
      <w:numFmt w:val="decimal"/>
      <w:lvlText w:val="%4."/>
      <w:lvlJc w:val="left"/>
      <w:pPr>
        <w:ind w:left="3121" w:hanging="360"/>
      </w:pPr>
    </w:lvl>
    <w:lvl w:ilvl="4" w:tplc="A38EE94C">
      <w:start w:val="1"/>
      <w:numFmt w:val="lowerLetter"/>
      <w:lvlText w:val="%5."/>
      <w:lvlJc w:val="left"/>
      <w:pPr>
        <w:ind w:left="3841" w:hanging="360"/>
      </w:pPr>
    </w:lvl>
    <w:lvl w:ilvl="5" w:tplc="C1DA3C76">
      <w:start w:val="1"/>
      <w:numFmt w:val="lowerRoman"/>
      <w:lvlText w:val="%6."/>
      <w:lvlJc w:val="right"/>
      <w:pPr>
        <w:ind w:left="4561" w:hanging="180"/>
      </w:pPr>
    </w:lvl>
    <w:lvl w:ilvl="6" w:tplc="C6A647F2">
      <w:start w:val="1"/>
      <w:numFmt w:val="decimal"/>
      <w:lvlText w:val="%7."/>
      <w:lvlJc w:val="left"/>
      <w:pPr>
        <w:ind w:left="5281" w:hanging="360"/>
      </w:pPr>
    </w:lvl>
    <w:lvl w:ilvl="7" w:tplc="71A06D8A">
      <w:start w:val="1"/>
      <w:numFmt w:val="lowerLetter"/>
      <w:lvlText w:val="%8."/>
      <w:lvlJc w:val="left"/>
      <w:pPr>
        <w:ind w:left="6001" w:hanging="360"/>
      </w:pPr>
    </w:lvl>
    <w:lvl w:ilvl="8" w:tplc="C778E728">
      <w:start w:val="1"/>
      <w:numFmt w:val="lowerRoman"/>
      <w:lvlText w:val="%9."/>
      <w:lvlJc w:val="right"/>
      <w:pPr>
        <w:ind w:left="6721" w:hanging="180"/>
      </w:pPr>
    </w:lvl>
  </w:abstractNum>
  <w:abstractNum w:abstractNumId="12">
    <w:nsid w:val="46E03719"/>
    <w:multiLevelType w:val="hybridMultilevel"/>
    <w:tmpl w:val="E72AB442"/>
    <w:lvl w:ilvl="0" w:tplc="C9CABFC6">
      <w:start w:val="1"/>
      <w:numFmt w:val="decimal"/>
      <w:pStyle w:val="Heading1"/>
      <w:lvlText w:val="%1."/>
      <w:lvlJc w:val="left"/>
      <w:pPr>
        <w:ind w:left="720" w:hanging="360"/>
      </w:pPr>
      <w:rPr>
        <w:b w:val="0"/>
        <w:bCs w:val="0"/>
        <w:i w:val="0"/>
        <w:iCs w:val="0"/>
        <w:caps w:val="0"/>
        <w:smallCaps w:val="0"/>
        <w:strike w:val="0"/>
        <w:dstrike w:val="0"/>
        <w:vanish w:val="0"/>
        <w:spacing w:val="0"/>
        <w:position w:val="0"/>
        <w:vertAlign w:val="baseline"/>
      </w:rPr>
    </w:lvl>
    <w:lvl w:ilvl="1" w:tplc="AA2CFD5C">
      <w:start w:val="1"/>
      <w:numFmt w:val="lowerLetter"/>
      <w:lvlText w:val="%2."/>
      <w:lvlJc w:val="left"/>
      <w:pPr>
        <w:ind w:left="1440" w:hanging="360"/>
      </w:pPr>
    </w:lvl>
    <w:lvl w:ilvl="2" w:tplc="7BC23EDC">
      <w:start w:val="1"/>
      <w:numFmt w:val="lowerRoman"/>
      <w:lvlText w:val="%3."/>
      <w:lvlJc w:val="right"/>
      <w:pPr>
        <w:ind w:left="2160" w:hanging="180"/>
      </w:pPr>
    </w:lvl>
    <w:lvl w:ilvl="3" w:tplc="0C64ACA0">
      <w:start w:val="1"/>
      <w:numFmt w:val="decimal"/>
      <w:lvlText w:val="%4."/>
      <w:lvlJc w:val="left"/>
      <w:pPr>
        <w:ind w:left="2880" w:hanging="360"/>
      </w:pPr>
    </w:lvl>
    <w:lvl w:ilvl="4" w:tplc="25186030">
      <w:start w:val="1"/>
      <w:numFmt w:val="lowerLetter"/>
      <w:lvlText w:val="%5."/>
      <w:lvlJc w:val="left"/>
      <w:pPr>
        <w:ind w:left="3600" w:hanging="360"/>
      </w:pPr>
    </w:lvl>
    <w:lvl w:ilvl="5" w:tplc="9EB29D6C">
      <w:start w:val="1"/>
      <w:numFmt w:val="lowerRoman"/>
      <w:lvlText w:val="%6."/>
      <w:lvlJc w:val="right"/>
      <w:pPr>
        <w:ind w:left="4320" w:hanging="180"/>
      </w:pPr>
    </w:lvl>
    <w:lvl w:ilvl="6" w:tplc="D82CAD66">
      <w:start w:val="1"/>
      <w:numFmt w:val="decimal"/>
      <w:lvlText w:val="%7."/>
      <w:lvlJc w:val="left"/>
      <w:pPr>
        <w:ind w:left="5040" w:hanging="360"/>
      </w:pPr>
    </w:lvl>
    <w:lvl w:ilvl="7" w:tplc="99C24340">
      <w:start w:val="1"/>
      <w:numFmt w:val="lowerLetter"/>
      <w:lvlText w:val="%8."/>
      <w:lvlJc w:val="left"/>
      <w:pPr>
        <w:ind w:left="5760" w:hanging="360"/>
      </w:pPr>
    </w:lvl>
    <w:lvl w:ilvl="8" w:tplc="428094CE">
      <w:start w:val="1"/>
      <w:numFmt w:val="lowerRoman"/>
      <w:lvlText w:val="%9."/>
      <w:lvlJc w:val="right"/>
      <w:pPr>
        <w:ind w:left="6480" w:hanging="180"/>
      </w:pPr>
    </w:lvl>
  </w:abstractNum>
  <w:abstractNum w:abstractNumId="13">
    <w:nsid w:val="4A5C6547"/>
    <w:multiLevelType w:val="hybridMultilevel"/>
    <w:tmpl w:val="53C899BC"/>
    <w:lvl w:ilvl="0" w:tplc="315E46D2">
      <w:start w:val="1"/>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4">
    <w:nsid w:val="4B775775"/>
    <w:multiLevelType w:val="hybridMultilevel"/>
    <w:tmpl w:val="F0361060"/>
    <w:lvl w:ilvl="0" w:tplc="96FCACE4">
      <w:start w:val="1"/>
      <w:numFmt w:val="decimal"/>
      <w:lvlText w:val="%1."/>
      <w:lvlJc w:val="left"/>
      <w:pPr>
        <w:ind w:left="927" w:hanging="360"/>
      </w:pPr>
      <w:rPr>
        <w:b/>
      </w:rPr>
    </w:lvl>
    <w:lvl w:ilvl="1" w:tplc="2BD8714A">
      <w:start w:val="1"/>
      <w:numFmt w:val="lowerLetter"/>
      <w:lvlText w:val="%2."/>
      <w:lvlJc w:val="left"/>
      <w:pPr>
        <w:ind w:left="1647" w:hanging="360"/>
      </w:pPr>
    </w:lvl>
    <w:lvl w:ilvl="2" w:tplc="8F5A1310">
      <w:start w:val="1"/>
      <w:numFmt w:val="lowerRoman"/>
      <w:lvlText w:val="%3."/>
      <w:lvlJc w:val="right"/>
      <w:pPr>
        <w:ind w:left="2367" w:hanging="180"/>
      </w:pPr>
    </w:lvl>
    <w:lvl w:ilvl="3" w:tplc="A020863C">
      <w:start w:val="1"/>
      <w:numFmt w:val="decimal"/>
      <w:lvlText w:val="%4."/>
      <w:lvlJc w:val="left"/>
      <w:pPr>
        <w:ind w:left="3087" w:hanging="360"/>
      </w:pPr>
    </w:lvl>
    <w:lvl w:ilvl="4" w:tplc="36B2B2AA">
      <w:start w:val="1"/>
      <w:numFmt w:val="lowerLetter"/>
      <w:lvlText w:val="%5."/>
      <w:lvlJc w:val="left"/>
      <w:pPr>
        <w:ind w:left="3807" w:hanging="360"/>
      </w:pPr>
    </w:lvl>
    <w:lvl w:ilvl="5" w:tplc="CFC693DA">
      <w:start w:val="1"/>
      <w:numFmt w:val="lowerRoman"/>
      <w:lvlText w:val="%6."/>
      <w:lvlJc w:val="right"/>
      <w:pPr>
        <w:ind w:left="4527" w:hanging="180"/>
      </w:pPr>
    </w:lvl>
    <w:lvl w:ilvl="6" w:tplc="99D048E8">
      <w:start w:val="1"/>
      <w:numFmt w:val="decimal"/>
      <w:lvlText w:val="%7."/>
      <w:lvlJc w:val="left"/>
      <w:pPr>
        <w:ind w:left="5247" w:hanging="360"/>
      </w:pPr>
    </w:lvl>
    <w:lvl w:ilvl="7" w:tplc="808E4F84">
      <w:start w:val="1"/>
      <w:numFmt w:val="lowerLetter"/>
      <w:lvlText w:val="%8."/>
      <w:lvlJc w:val="left"/>
      <w:pPr>
        <w:ind w:left="5967" w:hanging="360"/>
      </w:pPr>
    </w:lvl>
    <w:lvl w:ilvl="8" w:tplc="F4228482">
      <w:start w:val="1"/>
      <w:numFmt w:val="lowerRoman"/>
      <w:lvlText w:val="%9."/>
      <w:lvlJc w:val="right"/>
      <w:pPr>
        <w:ind w:left="6687" w:hanging="180"/>
      </w:pPr>
    </w:lvl>
  </w:abstractNum>
  <w:abstractNum w:abstractNumId="15">
    <w:nsid w:val="4CF75F3D"/>
    <w:multiLevelType w:val="hybridMultilevel"/>
    <w:tmpl w:val="E8A6DC82"/>
    <w:lvl w:ilvl="0" w:tplc="18A0FF2A">
      <w:start w:val="1"/>
      <w:numFmt w:val="decimal"/>
      <w:lvlText w:val="%1."/>
      <w:lvlJc w:val="left"/>
      <w:pPr>
        <w:ind w:left="1080" w:hanging="360"/>
      </w:pPr>
    </w:lvl>
    <w:lvl w:ilvl="1" w:tplc="A5EE1896">
      <w:start w:val="1"/>
      <w:numFmt w:val="lowerLetter"/>
      <w:lvlText w:val="%2."/>
      <w:lvlJc w:val="left"/>
      <w:pPr>
        <w:ind w:left="1800" w:hanging="360"/>
      </w:pPr>
    </w:lvl>
    <w:lvl w:ilvl="2" w:tplc="A2BA2BA4">
      <w:start w:val="1"/>
      <w:numFmt w:val="lowerRoman"/>
      <w:lvlText w:val="%3."/>
      <w:lvlJc w:val="right"/>
      <w:pPr>
        <w:ind w:left="2520" w:hanging="180"/>
      </w:pPr>
    </w:lvl>
    <w:lvl w:ilvl="3" w:tplc="7C728B8A">
      <w:start w:val="1"/>
      <w:numFmt w:val="decimal"/>
      <w:lvlText w:val="%4."/>
      <w:lvlJc w:val="left"/>
      <w:pPr>
        <w:ind w:left="3240" w:hanging="360"/>
      </w:pPr>
    </w:lvl>
    <w:lvl w:ilvl="4" w:tplc="8D6032CA">
      <w:start w:val="1"/>
      <w:numFmt w:val="lowerLetter"/>
      <w:lvlText w:val="%5."/>
      <w:lvlJc w:val="left"/>
      <w:pPr>
        <w:ind w:left="3960" w:hanging="360"/>
      </w:pPr>
    </w:lvl>
    <w:lvl w:ilvl="5" w:tplc="F55C4FB2">
      <w:start w:val="1"/>
      <w:numFmt w:val="lowerRoman"/>
      <w:lvlText w:val="%6."/>
      <w:lvlJc w:val="right"/>
      <w:pPr>
        <w:ind w:left="4680" w:hanging="180"/>
      </w:pPr>
    </w:lvl>
    <w:lvl w:ilvl="6" w:tplc="C6261260">
      <w:start w:val="1"/>
      <w:numFmt w:val="decimal"/>
      <w:lvlText w:val="%7."/>
      <w:lvlJc w:val="left"/>
      <w:pPr>
        <w:ind w:left="5400" w:hanging="360"/>
      </w:pPr>
    </w:lvl>
    <w:lvl w:ilvl="7" w:tplc="2F869774">
      <w:start w:val="1"/>
      <w:numFmt w:val="lowerLetter"/>
      <w:lvlText w:val="%8."/>
      <w:lvlJc w:val="left"/>
      <w:pPr>
        <w:ind w:left="6120" w:hanging="360"/>
      </w:pPr>
    </w:lvl>
    <w:lvl w:ilvl="8" w:tplc="C8ECC314">
      <w:start w:val="1"/>
      <w:numFmt w:val="lowerRoman"/>
      <w:lvlText w:val="%9."/>
      <w:lvlJc w:val="right"/>
      <w:pPr>
        <w:ind w:left="6840" w:hanging="180"/>
      </w:pPr>
    </w:lvl>
  </w:abstractNum>
  <w:abstractNum w:abstractNumId="16">
    <w:nsid w:val="54EF1279"/>
    <w:multiLevelType w:val="hybridMultilevel"/>
    <w:tmpl w:val="D962FFE2"/>
    <w:lvl w:ilvl="0" w:tplc="343A16E0">
      <w:start w:val="1"/>
      <w:numFmt w:val="decimal"/>
      <w:lvlText w:val="%1."/>
      <w:lvlJc w:val="left"/>
      <w:pPr>
        <w:ind w:left="644" w:hanging="360"/>
      </w:pPr>
    </w:lvl>
    <w:lvl w:ilvl="1" w:tplc="036488C0">
      <w:start w:val="1"/>
      <w:numFmt w:val="lowerLetter"/>
      <w:lvlText w:val="%2."/>
      <w:lvlJc w:val="left"/>
      <w:pPr>
        <w:ind w:left="1364" w:hanging="360"/>
      </w:pPr>
    </w:lvl>
    <w:lvl w:ilvl="2" w:tplc="A142F9FE">
      <w:start w:val="1"/>
      <w:numFmt w:val="lowerRoman"/>
      <w:lvlText w:val="%3."/>
      <w:lvlJc w:val="right"/>
      <w:pPr>
        <w:ind w:left="2084" w:hanging="180"/>
      </w:pPr>
    </w:lvl>
    <w:lvl w:ilvl="3" w:tplc="0A5838C2">
      <w:start w:val="1"/>
      <w:numFmt w:val="decimal"/>
      <w:lvlText w:val="%4."/>
      <w:lvlJc w:val="left"/>
      <w:pPr>
        <w:ind w:left="2804" w:hanging="360"/>
      </w:pPr>
    </w:lvl>
    <w:lvl w:ilvl="4" w:tplc="E62AA0B4">
      <w:start w:val="1"/>
      <w:numFmt w:val="lowerLetter"/>
      <w:lvlText w:val="%5."/>
      <w:lvlJc w:val="left"/>
      <w:pPr>
        <w:ind w:left="3524" w:hanging="360"/>
      </w:pPr>
    </w:lvl>
    <w:lvl w:ilvl="5" w:tplc="8B2C8E94">
      <w:start w:val="1"/>
      <w:numFmt w:val="lowerRoman"/>
      <w:lvlText w:val="%6."/>
      <w:lvlJc w:val="right"/>
      <w:pPr>
        <w:ind w:left="4244" w:hanging="180"/>
      </w:pPr>
    </w:lvl>
    <w:lvl w:ilvl="6" w:tplc="3446B69C">
      <w:start w:val="1"/>
      <w:numFmt w:val="decimal"/>
      <w:lvlText w:val="%7."/>
      <w:lvlJc w:val="left"/>
      <w:pPr>
        <w:ind w:left="4964" w:hanging="360"/>
      </w:pPr>
    </w:lvl>
    <w:lvl w:ilvl="7" w:tplc="31421B1A">
      <w:start w:val="1"/>
      <w:numFmt w:val="lowerLetter"/>
      <w:lvlText w:val="%8."/>
      <w:lvlJc w:val="left"/>
      <w:pPr>
        <w:ind w:left="5684" w:hanging="360"/>
      </w:pPr>
    </w:lvl>
    <w:lvl w:ilvl="8" w:tplc="0BC83476">
      <w:start w:val="1"/>
      <w:numFmt w:val="lowerRoman"/>
      <w:lvlText w:val="%9."/>
      <w:lvlJc w:val="right"/>
      <w:pPr>
        <w:ind w:left="6404" w:hanging="180"/>
      </w:pPr>
    </w:lvl>
  </w:abstractNum>
  <w:abstractNum w:abstractNumId="17">
    <w:nsid w:val="56C3368D"/>
    <w:multiLevelType w:val="hybridMultilevel"/>
    <w:tmpl w:val="FFAAB90A"/>
    <w:lvl w:ilvl="0" w:tplc="2D6CE082">
      <w:start w:val="2"/>
      <w:numFmt w:val="bullet"/>
      <w:lvlText w:val="-"/>
      <w:lvlJc w:val="left"/>
      <w:pPr>
        <w:ind w:left="927" w:hanging="360"/>
      </w:pPr>
      <w:rPr>
        <w:rFonts w:ascii="Times New Roman" w:eastAsia="Times New Roman" w:hAnsi="Times New Roman" w:cs="Times New Roman"/>
      </w:rPr>
    </w:lvl>
    <w:lvl w:ilvl="1" w:tplc="71124888">
      <w:start w:val="1"/>
      <w:numFmt w:val="bullet"/>
      <w:lvlText w:val="o"/>
      <w:lvlJc w:val="left"/>
      <w:pPr>
        <w:ind w:left="1647" w:hanging="360"/>
      </w:pPr>
      <w:rPr>
        <w:rFonts w:ascii="Courier New" w:hAnsi="Courier New" w:cs="Courier New"/>
      </w:rPr>
    </w:lvl>
    <w:lvl w:ilvl="2" w:tplc="06880EC2">
      <w:start w:val="1"/>
      <w:numFmt w:val="bullet"/>
      <w:lvlText w:val=""/>
      <w:lvlJc w:val="left"/>
      <w:pPr>
        <w:ind w:left="2367" w:hanging="360"/>
      </w:pPr>
      <w:rPr>
        <w:rFonts w:ascii="Wingdings" w:hAnsi="Wingdings"/>
      </w:rPr>
    </w:lvl>
    <w:lvl w:ilvl="3" w:tplc="76DE896A">
      <w:start w:val="1"/>
      <w:numFmt w:val="bullet"/>
      <w:lvlText w:val=""/>
      <w:lvlJc w:val="left"/>
      <w:pPr>
        <w:ind w:left="3087" w:hanging="360"/>
      </w:pPr>
      <w:rPr>
        <w:rFonts w:ascii="Symbol" w:hAnsi="Symbol"/>
      </w:rPr>
    </w:lvl>
    <w:lvl w:ilvl="4" w:tplc="0CAC9964">
      <w:start w:val="1"/>
      <w:numFmt w:val="bullet"/>
      <w:lvlText w:val="o"/>
      <w:lvlJc w:val="left"/>
      <w:pPr>
        <w:ind w:left="3807" w:hanging="360"/>
      </w:pPr>
      <w:rPr>
        <w:rFonts w:ascii="Courier New" w:hAnsi="Courier New" w:cs="Courier New"/>
      </w:rPr>
    </w:lvl>
    <w:lvl w:ilvl="5" w:tplc="28081246">
      <w:start w:val="1"/>
      <w:numFmt w:val="bullet"/>
      <w:lvlText w:val=""/>
      <w:lvlJc w:val="left"/>
      <w:pPr>
        <w:ind w:left="4527" w:hanging="360"/>
      </w:pPr>
      <w:rPr>
        <w:rFonts w:ascii="Wingdings" w:hAnsi="Wingdings"/>
      </w:rPr>
    </w:lvl>
    <w:lvl w:ilvl="6" w:tplc="4B86CDAC">
      <w:start w:val="1"/>
      <w:numFmt w:val="bullet"/>
      <w:lvlText w:val=""/>
      <w:lvlJc w:val="left"/>
      <w:pPr>
        <w:ind w:left="5247" w:hanging="360"/>
      </w:pPr>
      <w:rPr>
        <w:rFonts w:ascii="Symbol" w:hAnsi="Symbol"/>
      </w:rPr>
    </w:lvl>
    <w:lvl w:ilvl="7" w:tplc="B51A2256">
      <w:start w:val="1"/>
      <w:numFmt w:val="bullet"/>
      <w:lvlText w:val="o"/>
      <w:lvlJc w:val="left"/>
      <w:pPr>
        <w:ind w:left="5967" w:hanging="360"/>
      </w:pPr>
      <w:rPr>
        <w:rFonts w:ascii="Courier New" w:hAnsi="Courier New" w:cs="Courier New"/>
      </w:rPr>
    </w:lvl>
    <w:lvl w:ilvl="8" w:tplc="95F092D4">
      <w:start w:val="1"/>
      <w:numFmt w:val="bullet"/>
      <w:lvlText w:val=""/>
      <w:lvlJc w:val="left"/>
      <w:pPr>
        <w:ind w:left="6687" w:hanging="360"/>
      </w:pPr>
      <w:rPr>
        <w:rFonts w:ascii="Wingdings" w:hAnsi="Wingdings"/>
      </w:rPr>
    </w:lvl>
  </w:abstractNum>
  <w:abstractNum w:abstractNumId="18">
    <w:nsid w:val="5BAA4E80"/>
    <w:multiLevelType w:val="hybridMultilevel"/>
    <w:tmpl w:val="B6EE7C54"/>
    <w:lvl w:ilvl="0" w:tplc="0FAA306E">
      <w:start w:val="1"/>
      <w:numFmt w:val="decimal"/>
      <w:lvlText w:val="%1."/>
      <w:lvlJc w:val="left"/>
      <w:pPr>
        <w:ind w:left="1286" w:hanging="360"/>
      </w:pPr>
    </w:lvl>
    <w:lvl w:ilvl="1" w:tplc="6A86F744">
      <w:start w:val="1"/>
      <w:numFmt w:val="lowerLetter"/>
      <w:lvlText w:val="%2."/>
      <w:lvlJc w:val="left"/>
      <w:pPr>
        <w:ind w:left="2006" w:hanging="360"/>
      </w:pPr>
    </w:lvl>
    <w:lvl w:ilvl="2" w:tplc="ABEE45FE">
      <w:start w:val="1"/>
      <w:numFmt w:val="lowerRoman"/>
      <w:lvlText w:val="%3."/>
      <w:lvlJc w:val="right"/>
      <w:pPr>
        <w:ind w:left="2727" w:hanging="360"/>
      </w:pPr>
    </w:lvl>
    <w:lvl w:ilvl="3" w:tplc="9ED606A4">
      <w:start w:val="1"/>
      <w:numFmt w:val="decimal"/>
      <w:lvlText w:val="%4."/>
      <w:lvlJc w:val="left"/>
      <w:pPr>
        <w:ind w:left="3447" w:hanging="360"/>
      </w:pPr>
    </w:lvl>
    <w:lvl w:ilvl="4" w:tplc="22BAA7CC">
      <w:start w:val="1"/>
      <w:numFmt w:val="lowerLetter"/>
      <w:lvlText w:val="%5."/>
      <w:lvlJc w:val="left"/>
      <w:pPr>
        <w:ind w:left="4167" w:hanging="360"/>
      </w:pPr>
    </w:lvl>
    <w:lvl w:ilvl="5" w:tplc="E598811C">
      <w:start w:val="1"/>
      <w:numFmt w:val="lowerRoman"/>
      <w:lvlText w:val="%6."/>
      <w:lvlJc w:val="right"/>
      <w:pPr>
        <w:ind w:left="4887" w:hanging="360"/>
      </w:pPr>
    </w:lvl>
    <w:lvl w:ilvl="6" w:tplc="A18E70CA">
      <w:start w:val="1"/>
      <w:numFmt w:val="decimal"/>
      <w:lvlText w:val="%7."/>
      <w:lvlJc w:val="left"/>
      <w:pPr>
        <w:ind w:left="5607" w:hanging="360"/>
      </w:pPr>
    </w:lvl>
    <w:lvl w:ilvl="7" w:tplc="7826D782">
      <w:start w:val="1"/>
      <w:numFmt w:val="lowerLetter"/>
      <w:lvlText w:val="%8."/>
      <w:lvlJc w:val="left"/>
      <w:pPr>
        <w:ind w:left="6327" w:hanging="360"/>
      </w:pPr>
    </w:lvl>
    <w:lvl w:ilvl="8" w:tplc="4EC09C24">
      <w:start w:val="1"/>
      <w:numFmt w:val="lowerRoman"/>
      <w:lvlText w:val="%9."/>
      <w:lvlJc w:val="right"/>
      <w:pPr>
        <w:ind w:left="7047" w:hanging="360"/>
      </w:pPr>
    </w:lvl>
  </w:abstractNum>
  <w:abstractNum w:abstractNumId="19">
    <w:nsid w:val="690A71D2"/>
    <w:multiLevelType w:val="hybridMultilevel"/>
    <w:tmpl w:val="A382476E"/>
    <w:lvl w:ilvl="0" w:tplc="DD966508">
      <w:start w:val="1"/>
      <w:numFmt w:val="decimal"/>
      <w:lvlText w:val="%1."/>
      <w:lvlJc w:val="left"/>
      <w:pPr>
        <w:ind w:left="720" w:hanging="360"/>
      </w:pPr>
    </w:lvl>
    <w:lvl w:ilvl="1" w:tplc="4BC8AF68">
      <w:start w:val="1"/>
      <w:numFmt w:val="lowerLetter"/>
      <w:lvlText w:val="%2."/>
      <w:lvlJc w:val="left"/>
      <w:pPr>
        <w:ind w:left="1440" w:hanging="360"/>
      </w:pPr>
    </w:lvl>
    <w:lvl w:ilvl="2" w:tplc="D74E86F0">
      <w:start w:val="1"/>
      <w:numFmt w:val="lowerRoman"/>
      <w:lvlText w:val="%3."/>
      <w:lvlJc w:val="right"/>
      <w:pPr>
        <w:ind w:left="2160" w:hanging="180"/>
      </w:pPr>
    </w:lvl>
    <w:lvl w:ilvl="3" w:tplc="0AB07A56">
      <w:start w:val="1"/>
      <w:numFmt w:val="decimal"/>
      <w:lvlText w:val="%4."/>
      <w:lvlJc w:val="left"/>
      <w:pPr>
        <w:ind w:left="2880" w:hanging="360"/>
      </w:pPr>
    </w:lvl>
    <w:lvl w:ilvl="4" w:tplc="924C1BCA">
      <w:start w:val="1"/>
      <w:numFmt w:val="lowerLetter"/>
      <w:lvlText w:val="%5."/>
      <w:lvlJc w:val="left"/>
      <w:pPr>
        <w:ind w:left="3600" w:hanging="360"/>
      </w:pPr>
    </w:lvl>
    <w:lvl w:ilvl="5" w:tplc="8B9C608E">
      <w:start w:val="1"/>
      <w:numFmt w:val="lowerRoman"/>
      <w:lvlText w:val="%6."/>
      <w:lvlJc w:val="right"/>
      <w:pPr>
        <w:ind w:left="4320" w:hanging="180"/>
      </w:pPr>
    </w:lvl>
    <w:lvl w:ilvl="6" w:tplc="86A00B78">
      <w:start w:val="1"/>
      <w:numFmt w:val="decimal"/>
      <w:lvlText w:val="%7."/>
      <w:lvlJc w:val="left"/>
      <w:pPr>
        <w:ind w:left="5040" w:hanging="360"/>
      </w:pPr>
    </w:lvl>
    <w:lvl w:ilvl="7" w:tplc="60FE7F8E">
      <w:start w:val="1"/>
      <w:numFmt w:val="lowerLetter"/>
      <w:lvlText w:val="%8."/>
      <w:lvlJc w:val="left"/>
      <w:pPr>
        <w:ind w:left="5760" w:hanging="360"/>
      </w:pPr>
    </w:lvl>
    <w:lvl w:ilvl="8" w:tplc="C75221C0">
      <w:start w:val="1"/>
      <w:numFmt w:val="lowerRoman"/>
      <w:lvlText w:val="%9."/>
      <w:lvlJc w:val="right"/>
      <w:pPr>
        <w:ind w:left="6480" w:hanging="180"/>
      </w:pPr>
    </w:lvl>
  </w:abstractNum>
  <w:abstractNum w:abstractNumId="20">
    <w:nsid w:val="6E73118A"/>
    <w:multiLevelType w:val="hybridMultilevel"/>
    <w:tmpl w:val="32DC85DE"/>
    <w:lvl w:ilvl="0" w:tplc="A9140B6A">
      <w:start w:val="1"/>
      <w:numFmt w:val="decimal"/>
      <w:lvlText w:val="%1."/>
      <w:lvlJc w:val="left"/>
      <w:pPr>
        <w:ind w:left="720" w:hanging="360"/>
      </w:pPr>
      <w:rPr>
        <w:rFonts w:ascii="Times New Roman" w:hAnsi="Times New Roman" w:cs="Times New Roman"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36418F9"/>
    <w:multiLevelType w:val="hybridMultilevel"/>
    <w:tmpl w:val="93883524"/>
    <w:lvl w:ilvl="0" w:tplc="FEE669B8">
      <w:start w:val="3"/>
      <w:numFmt w:val="bullet"/>
      <w:lvlText w:val="-"/>
      <w:lvlJc w:val="left"/>
      <w:pPr>
        <w:ind w:left="1440" w:hanging="360"/>
      </w:pPr>
      <w:rPr>
        <w:rFonts w:ascii="TimesNewRomanPSMT" w:eastAsia="Times New Roman" w:hAnsi="TimesNewRomanPSMT" w:hint="eastAsia"/>
      </w:rPr>
    </w:lvl>
    <w:lvl w:ilvl="1" w:tplc="04020003">
      <w:start w:val="1"/>
      <w:numFmt w:val="bullet"/>
      <w:lvlText w:val="o"/>
      <w:lvlJc w:val="left"/>
      <w:pPr>
        <w:ind w:left="2160" w:hanging="360"/>
      </w:pPr>
      <w:rPr>
        <w:rFonts w:ascii="Courier New" w:hAnsi="Courier New" w:cs="Times New Roman"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Times New Roman"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Times New Roman" w:hint="default"/>
      </w:rPr>
    </w:lvl>
    <w:lvl w:ilvl="8" w:tplc="04020005">
      <w:start w:val="1"/>
      <w:numFmt w:val="bullet"/>
      <w:lvlText w:val=""/>
      <w:lvlJc w:val="left"/>
      <w:pPr>
        <w:ind w:left="7200" w:hanging="360"/>
      </w:pPr>
      <w:rPr>
        <w:rFonts w:ascii="Wingdings" w:hAnsi="Wingdings" w:hint="default"/>
      </w:rPr>
    </w:lvl>
  </w:abstractNum>
  <w:abstractNum w:abstractNumId="22">
    <w:nsid w:val="75521B94"/>
    <w:multiLevelType w:val="hybridMultilevel"/>
    <w:tmpl w:val="49B661CA"/>
    <w:lvl w:ilvl="0" w:tplc="1D9AE13C">
      <w:start w:val="1"/>
      <w:numFmt w:val="decimal"/>
      <w:lvlText w:val="%1."/>
      <w:lvlJc w:val="left"/>
      <w:pPr>
        <w:ind w:left="1350" w:hanging="360"/>
      </w:pPr>
      <w:rPr>
        <w:rFonts w:ascii="Times New Roman" w:eastAsia="Times New Roman" w:hAnsi="Times New Roman" w:cs="Times New Roman"/>
        <w:spacing w:val="-3"/>
        <w:w w:val="100"/>
        <w:sz w:val="24"/>
        <w:szCs w:val="24"/>
      </w:rPr>
    </w:lvl>
    <w:lvl w:ilvl="1" w:tplc="7618ECCC">
      <w:numFmt w:val="bullet"/>
      <w:lvlText w:val="•"/>
      <w:lvlJc w:val="left"/>
      <w:pPr>
        <w:ind w:left="2260" w:hanging="360"/>
      </w:pPr>
    </w:lvl>
    <w:lvl w:ilvl="2" w:tplc="F1E44B82">
      <w:numFmt w:val="bullet"/>
      <w:lvlText w:val="•"/>
      <w:lvlJc w:val="left"/>
      <w:pPr>
        <w:ind w:left="3160" w:hanging="360"/>
      </w:pPr>
    </w:lvl>
    <w:lvl w:ilvl="3" w:tplc="475CFEF2">
      <w:numFmt w:val="bullet"/>
      <w:lvlText w:val="•"/>
      <w:lvlJc w:val="left"/>
      <w:pPr>
        <w:ind w:left="4060" w:hanging="360"/>
      </w:pPr>
    </w:lvl>
    <w:lvl w:ilvl="4" w:tplc="27404410">
      <w:numFmt w:val="bullet"/>
      <w:lvlText w:val="•"/>
      <w:lvlJc w:val="left"/>
      <w:pPr>
        <w:ind w:left="4960" w:hanging="360"/>
      </w:pPr>
    </w:lvl>
    <w:lvl w:ilvl="5" w:tplc="91B8D6BE">
      <w:numFmt w:val="bullet"/>
      <w:lvlText w:val="•"/>
      <w:lvlJc w:val="left"/>
      <w:pPr>
        <w:ind w:left="5860" w:hanging="360"/>
      </w:pPr>
    </w:lvl>
    <w:lvl w:ilvl="6" w:tplc="F38245A4">
      <w:numFmt w:val="bullet"/>
      <w:lvlText w:val="•"/>
      <w:lvlJc w:val="left"/>
      <w:pPr>
        <w:ind w:left="6760" w:hanging="360"/>
      </w:pPr>
    </w:lvl>
    <w:lvl w:ilvl="7" w:tplc="3330487C">
      <w:numFmt w:val="bullet"/>
      <w:lvlText w:val="•"/>
      <w:lvlJc w:val="left"/>
      <w:pPr>
        <w:ind w:left="7660" w:hanging="360"/>
      </w:pPr>
    </w:lvl>
    <w:lvl w:ilvl="8" w:tplc="094886EA">
      <w:numFmt w:val="bullet"/>
      <w:lvlText w:val="•"/>
      <w:lvlJc w:val="left"/>
      <w:pPr>
        <w:ind w:left="8560" w:hanging="360"/>
      </w:pPr>
    </w:lvl>
  </w:abstractNum>
  <w:abstractNum w:abstractNumId="23">
    <w:nsid w:val="7664216F"/>
    <w:multiLevelType w:val="hybridMultilevel"/>
    <w:tmpl w:val="CF16FC84"/>
    <w:lvl w:ilvl="0" w:tplc="EF7C3070">
      <w:numFmt w:val="bullet"/>
      <w:lvlText w:val="-"/>
      <w:lvlJc w:val="left"/>
      <w:pPr>
        <w:ind w:left="708" w:hanging="360"/>
      </w:pPr>
      <w:rPr>
        <w:rFonts w:ascii="Times New Roman" w:eastAsia="Times New Roman" w:hAnsi="Times New Roman" w:cs="Times New Roman"/>
      </w:rPr>
    </w:lvl>
    <w:lvl w:ilvl="1" w:tplc="933CD6CE">
      <w:numFmt w:val="bullet"/>
      <w:lvlText w:val="•"/>
      <w:lvlJc w:val="left"/>
      <w:pPr>
        <w:ind w:left="1788" w:hanging="720"/>
      </w:pPr>
      <w:rPr>
        <w:rFonts w:ascii="Times New Roman" w:eastAsia="Times New Roman" w:hAnsi="Times New Roman" w:cs="Times New Roman"/>
      </w:rPr>
    </w:lvl>
    <w:lvl w:ilvl="2" w:tplc="329AB960">
      <w:start w:val="1"/>
      <w:numFmt w:val="bullet"/>
      <w:lvlText w:val=""/>
      <w:lvlJc w:val="left"/>
      <w:pPr>
        <w:ind w:left="2148" w:hanging="360"/>
      </w:pPr>
      <w:rPr>
        <w:rFonts w:ascii="Wingdings" w:hAnsi="Wingdings"/>
      </w:rPr>
    </w:lvl>
    <w:lvl w:ilvl="3" w:tplc="06D0D102">
      <w:start w:val="1"/>
      <w:numFmt w:val="bullet"/>
      <w:lvlText w:val=""/>
      <w:lvlJc w:val="left"/>
      <w:pPr>
        <w:ind w:left="2868" w:hanging="360"/>
      </w:pPr>
      <w:rPr>
        <w:rFonts w:ascii="Symbol" w:hAnsi="Symbol"/>
      </w:rPr>
    </w:lvl>
    <w:lvl w:ilvl="4" w:tplc="C832B47E">
      <w:start w:val="1"/>
      <w:numFmt w:val="bullet"/>
      <w:lvlText w:val="o"/>
      <w:lvlJc w:val="left"/>
      <w:pPr>
        <w:ind w:left="3588" w:hanging="360"/>
      </w:pPr>
      <w:rPr>
        <w:rFonts w:ascii="Courier New" w:hAnsi="Courier New" w:cs="Courier New"/>
      </w:rPr>
    </w:lvl>
    <w:lvl w:ilvl="5" w:tplc="DD4E8FCA">
      <w:start w:val="1"/>
      <w:numFmt w:val="bullet"/>
      <w:lvlText w:val=""/>
      <w:lvlJc w:val="left"/>
      <w:pPr>
        <w:ind w:left="4308" w:hanging="360"/>
      </w:pPr>
      <w:rPr>
        <w:rFonts w:ascii="Wingdings" w:hAnsi="Wingdings"/>
      </w:rPr>
    </w:lvl>
    <w:lvl w:ilvl="6" w:tplc="A2DC5390">
      <w:start w:val="1"/>
      <w:numFmt w:val="bullet"/>
      <w:lvlText w:val=""/>
      <w:lvlJc w:val="left"/>
      <w:pPr>
        <w:ind w:left="5028" w:hanging="360"/>
      </w:pPr>
      <w:rPr>
        <w:rFonts w:ascii="Symbol" w:hAnsi="Symbol"/>
      </w:rPr>
    </w:lvl>
    <w:lvl w:ilvl="7" w:tplc="1EC0FA56">
      <w:start w:val="1"/>
      <w:numFmt w:val="bullet"/>
      <w:lvlText w:val="o"/>
      <w:lvlJc w:val="left"/>
      <w:pPr>
        <w:ind w:left="5748" w:hanging="360"/>
      </w:pPr>
      <w:rPr>
        <w:rFonts w:ascii="Courier New" w:hAnsi="Courier New" w:cs="Courier New"/>
      </w:rPr>
    </w:lvl>
    <w:lvl w:ilvl="8" w:tplc="66F2BCCA">
      <w:start w:val="1"/>
      <w:numFmt w:val="bullet"/>
      <w:lvlText w:val=""/>
      <w:lvlJc w:val="left"/>
      <w:pPr>
        <w:ind w:left="6468" w:hanging="360"/>
      </w:pPr>
      <w:rPr>
        <w:rFonts w:ascii="Wingdings" w:hAnsi="Wingdings"/>
      </w:rPr>
    </w:lvl>
  </w:abstractNum>
  <w:abstractNum w:abstractNumId="24">
    <w:nsid w:val="7D2E1EB8"/>
    <w:multiLevelType w:val="hybridMultilevel"/>
    <w:tmpl w:val="FD568B38"/>
    <w:lvl w:ilvl="0" w:tplc="FD7885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9"/>
  </w:num>
  <w:num w:numId="5">
    <w:abstractNumId w:val="14"/>
  </w:num>
  <w:num w:numId="6">
    <w:abstractNumId w:val="19"/>
  </w:num>
  <w:num w:numId="7">
    <w:abstractNumId w:val="15"/>
  </w:num>
  <w:num w:numId="8">
    <w:abstractNumId w:val="23"/>
  </w:num>
  <w:num w:numId="9">
    <w:abstractNumId w:val="2"/>
  </w:num>
  <w:num w:numId="10">
    <w:abstractNumId w:val="6"/>
  </w:num>
  <w:num w:numId="11">
    <w:abstractNumId w:val="3"/>
  </w:num>
  <w:num w:numId="12">
    <w:abstractNumId w:val="11"/>
  </w:num>
  <w:num w:numId="13">
    <w:abstractNumId w:val="16"/>
  </w:num>
  <w:num w:numId="14">
    <w:abstractNumId w:val="8"/>
  </w:num>
  <w:num w:numId="15">
    <w:abstractNumId w:val="0"/>
  </w:num>
  <w:num w:numId="16">
    <w:abstractNumId w:val="1"/>
  </w:num>
  <w:num w:numId="17">
    <w:abstractNumId w:val="22"/>
  </w:num>
  <w:num w:numId="18">
    <w:abstractNumId w:val="17"/>
  </w:num>
  <w:num w:numId="19">
    <w:abstractNumId w:val="18"/>
  </w:num>
  <w:num w:numId="20">
    <w:abstractNumId w:val="7"/>
  </w:num>
  <w:num w:numId="21">
    <w:abstractNumId w:val="24"/>
  </w:num>
  <w:num w:numId="22">
    <w:abstractNumId w:val="21"/>
  </w:num>
  <w:num w:numId="23">
    <w:abstractNumId w:val="10"/>
  </w:num>
  <w:num w:numId="24">
    <w:abstractNumId w:val="1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0380"/>
    <w:rsid w:val="00001FFB"/>
    <w:rsid w:val="00007B56"/>
    <w:rsid w:val="00017799"/>
    <w:rsid w:val="0002110E"/>
    <w:rsid w:val="000238DF"/>
    <w:rsid w:val="00031B5A"/>
    <w:rsid w:val="000335FE"/>
    <w:rsid w:val="00060911"/>
    <w:rsid w:val="0006706F"/>
    <w:rsid w:val="00067CA7"/>
    <w:rsid w:val="000842F4"/>
    <w:rsid w:val="000C3305"/>
    <w:rsid w:val="000C4258"/>
    <w:rsid w:val="000C7B5D"/>
    <w:rsid w:val="000D573A"/>
    <w:rsid w:val="000D592A"/>
    <w:rsid w:val="000D5A41"/>
    <w:rsid w:val="000D773E"/>
    <w:rsid w:val="000E265F"/>
    <w:rsid w:val="000E3F15"/>
    <w:rsid w:val="001033C2"/>
    <w:rsid w:val="00126EA2"/>
    <w:rsid w:val="0015007E"/>
    <w:rsid w:val="00177051"/>
    <w:rsid w:val="00193EDD"/>
    <w:rsid w:val="001A797C"/>
    <w:rsid w:val="001B0CFD"/>
    <w:rsid w:val="001C2903"/>
    <w:rsid w:val="001D6724"/>
    <w:rsid w:val="001E25B8"/>
    <w:rsid w:val="001E2867"/>
    <w:rsid w:val="001E3BD6"/>
    <w:rsid w:val="001F7ECA"/>
    <w:rsid w:val="002370AB"/>
    <w:rsid w:val="002450F5"/>
    <w:rsid w:val="00250332"/>
    <w:rsid w:val="00252B42"/>
    <w:rsid w:val="00253483"/>
    <w:rsid w:val="00262EDF"/>
    <w:rsid w:val="00264943"/>
    <w:rsid w:val="00266A4A"/>
    <w:rsid w:val="00270D31"/>
    <w:rsid w:val="00272853"/>
    <w:rsid w:val="0029076D"/>
    <w:rsid w:val="00291358"/>
    <w:rsid w:val="00291E5F"/>
    <w:rsid w:val="002927B9"/>
    <w:rsid w:val="002A073E"/>
    <w:rsid w:val="002B6FA9"/>
    <w:rsid w:val="002C1A83"/>
    <w:rsid w:val="002C7F4A"/>
    <w:rsid w:val="002D27BF"/>
    <w:rsid w:val="002F11D0"/>
    <w:rsid w:val="002F52D8"/>
    <w:rsid w:val="00302249"/>
    <w:rsid w:val="0032009C"/>
    <w:rsid w:val="0034064D"/>
    <w:rsid w:val="00344173"/>
    <w:rsid w:val="0035066C"/>
    <w:rsid w:val="003508F4"/>
    <w:rsid w:val="00355F0F"/>
    <w:rsid w:val="00360380"/>
    <w:rsid w:val="00362EC7"/>
    <w:rsid w:val="00371D29"/>
    <w:rsid w:val="003848E5"/>
    <w:rsid w:val="00387630"/>
    <w:rsid w:val="00391DA4"/>
    <w:rsid w:val="00392654"/>
    <w:rsid w:val="003A617A"/>
    <w:rsid w:val="003A697B"/>
    <w:rsid w:val="00402CBE"/>
    <w:rsid w:val="00405C0A"/>
    <w:rsid w:val="0041606F"/>
    <w:rsid w:val="00430412"/>
    <w:rsid w:val="00431246"/>
    <w:rsid w:val="00435376"/>
    <w:rsid w:val="00443ADB"/>
    <w:rsid w:val="00463144"/>
    <w:rsid w:val="00471F4B"/>
    <w:rsid w:val="004B1F84"/>
    <w:rsid w:val="004B4EC8"/>
    <w:rsid w:val="004B5F64"/>
    <w:rsid w:val="004C3CC1"/>
    <w:rsid w:val="004C456A"/>
    <w:rsid w:val="00502455"/>
    <w:rsid w:val="005064D5"/>
    <w:rsid w:val="005766DF"/>
    <w:rsid w:val="005861D8"/>
    <w:rsid w:val="005A3B87"/>
    <w:rsid w:val="005B56E6"/>
    <w:rsid w:val="005B7000"/>
    <w:rsid w:val="005C0653"/>
    <w:rsid w:val="005C0694"/>
    <w:rsid w:val="005C3722"/>
    <w:rsid w:val="005C39D8"/>
    <w:rsid w:val="005F0D0F"/>
    <w:rsid w:val="005F45D7"/>
    <w:rsid w:val="006039CF"/>
    <w:rsid w:val="006544E3"/>
    <w:rsid w:val="00654FBE"/>
    <w:rsid w:val="006569A6"/>
    <w:rsid w:val="00687F85"/>
    <w:rsid w:val="006C7D44"/>
    <w:rsid w:val="006D1044"/>
    <w:rsid w:val="006D5A34"/>
    <w:rsid w:val="006F3EA1"/>
    <w:rsid w:val="006F4A38"/>
    <w:rsid w:val="00703BFF"/>
    <w:rsid w:val="00714DBE"/>
    <w:rsid w:val="00715A83"/>
    <w:rsid w:val="00716ECF"/>
    <w:rsid w:val="00722EDD"/>
    <w:rsid w:val="00725304"/>
    <w:rsid w:val="00725797"/>
    <w:rsid w:val="007303EB"/>
    <w:rsid w:val="007319C5"/>
    <w:rsid w:val="00733A66"/>
    <w:rsid w:val="007658D2"/>
    <w:rsid w:val="00770F39"/>
    <w:rsid w:val="00774C59"/>
    <w:rsid w:val="00790BE5"/>
    <w:rsid w:val="00793CBA"/>
    <w:rsid w:val="007A3285"/>
    <w:rsid w:val="007B1D10"/>
    <w:rsid w:val="007B50BF"/>
    <w:rsid w:val="007C2D84"/>
    <w:rsid w:val="007C420F"/>
    <w:rsid w:val="007D7485"/>
    <w:rsid w:val="007E62DB"/>
    <w:rsid w:val="008026B3"/>
    <w:rsid w:val="008149DC"/>
    <w:rsid w:val="008303FC"/>
    <w:rsid w:val="00845EFF"/>
    <w:rsid w:val="00851A01"/>
    <w:rsid w:val="008522CE"/>
    <w:rsid w:val="00860EB1"/>
    <w:rsid w:val="008659BE"/>
    <w:rsid w:val="008676EF"/>
    <w:rsid w:val="00872A26"/>
    <w:rsid w:val="008763FE"/>
    <w:rsid w:val="0088530F"/>
    <w:rsid w:val="008857BD"/>
    <w:rsid w:val="00892973"/>
    <w:rsid w:val="008A2AA8"/>
    <w:rsid w:val="008C487B"/>
    <w:rsid w:val="008E5518"/>
    <w:rsid w:val="008F32B2"/>
    <w:rsid w:val="008F62DA"/>
    <w:rsid w:val="00900B20"/>
    <w:rsid w:val="00910445"/>
    <w:rsid w:val="009129C6"/>
    <w:rsid w:val="00935776"/>
    <w:rsid w:val="00945C8F"/>
    <w:rsid w:val="0095640B"/>
    <w:rsid w:val="009615A4"/>
    <w:rsid w:val="00987726"/>
    <w:rsid w:val="00996841"/>
    <w:rsid w:val="009A2BB4"/>
    <w:rsid w:val="009A2D0A"/>
    <w:rsid w:val="009B1AA5"/>
    <w:rsid w:val="009B3762"/>
    <w:rsid w:val="009C681B"/>
    <w:rsid w:val="009D231E"/>
    <w:rsid w:val="009D6105"/>
    <w:rsid w:val="009E1E5F"/>
    <w:rsid w:val="009F0C3B"/>
    <w:rsid w:val="009F1254"/>
    <w:rsid w:val="009F34B3"/>
    <w:rsid w:val="009F7786"/>
    <w:rsid w:val="00A009FD"/>
    <w:rsid w:val="00A0341A"/>
    <w:rsid w:val="00A05DF2"/>
    <w:rsid w:val="00A16C1A"/>
    <w:rsid w:val="00A32845"/>
    <w:rsid w:val="00A42C81"/>
    <w:rsid w:val="00A47DE5"/>
    <w:rsid w:val="00A610FF"/>
    <w:rsid w:val="00A871E0"/>
    <w:rsid w:val="00A92B60"/>
    <w:rsid w:val="00AC7FB8"/>
    <w:rsid w:val="00AD0992"/>
    <w:rsid w:val="00AE0E7A"/>
    <w:rsid w:val="00AE15FE"/>
    <w:rsid w:val="00AE70B9"/>
    <w:rsid w:val="00AF07C5"/>
    <w:rsid w:val="00AF3BB9"/>
    <w:rsid w:val="00AF416B"/>
    <w:rsid w:val="00B02C0D"/>
    <w:rsid w:val="00B05BED"/>
    <w:rsid w:val="00B1025A"/>
    <w:rsid w:val="00B14A31"/>
    <w:rsid w:val="00B203D1"/>
    <w:rsid w:val="00B24045"/>
    <w:rsid w:val="00B32189"/>
    <w:rsid w:val="00B32A47"/>
    <w:rsid w:val="00B33B36"/>
    <w:rsid w:val="00B3468D"/>
    <w:rsid w:val="00B3562B"/>
    <w:rsid w:val="00B40211"/>
    <w:rsid w:val="00B51316"/>
    <w:rsid w:val="00B54CF4"/>
    <w:rsid w:val="00B564A7"/>
    <w:rsid w:val="00B5775D"/>
    <w:rsid w:val="00B6023F"/>
    <w:rsid w:val="00B66ED3"/>
    <w:rsid w:val="00B77050"/>
    <w:rsid w:val="00B91B7B"/>
    <w:rsid w:val="00B91D31"/>
    <w:rsid w:val="00B96874"/>
    <w:rsid w:val="00BB79BC"/>
    <w:rsid w:val="00BC3423"/>
    <w:rsid w:val="00C009D6"/>
    <w:rsid w:val="00C13344"/>
    <w:rsid w:val="00C14326"/>
    <w:rsid w:val="00C33636"/>
    <w:rsid w:val="00C339A9"/>
    <w:rsid w:val="00C470DD"/>
    <w:rsid w:val="00C57C0E"/>
    <w:rsid w:val="00C655CF"/>
    <w:rsid w:val="00C73DC5"/>
    <w:rsid w:val="00C80B89"/>
    <w:rsid w:val="00CA1C7F"/>
    <w:rsid w:val="00CB0D98"/>
    <w:rsid w:val="00CB4FAC"/>
    <w:rsid w:val="00CB5657"/>
    <w:rsid w:val="00CD6A33"/>
    <w:rsid w:val="00CD784F"/>
    <w:rsid w:val="00CE55C7"/>
    <w:rsid w:val="00CF31D3"/>
    <w:rsid w:val="00D05A14"/>
    <w:rsid w:val="00D22E42"/>
    <w:rsid w:val="00D24140"/>
    <w:rsid w:val="00D2794A"/>
    <w:rsid w:val="00D353E1"/>
    <w:rsid w:val="00D47A0E"/>
    <w:rsid w:val="00D57668"/>
    <w:rsid w:val="00D6438B"/>
    <w:rsid w:val="00D73828"/>
    <w:rsid w:val="00D74AD5"/>
    <w:rsid w:val="00D75E5C"/>
    <w:rsid w:val="00D8121B"/>
    <w:rsid w:val="00DA6578"/>
    <w:rsid w:val="00DD3E08"/>
    <w:rsid w:val="00DE20A2"/>
    <w:rsid w:val="00DE4C8C"/>
    <w:rsid w:val="00DE7488"/>
    <w:rsid w:val="00DF5938"/>
    <w:rsid w:val="00DF7241"/>
    <w:rsid w:val="00E03001"/>
    <w:rsid w:val="00E05424"/>
    <w:rsid w:val="00E10030"/>
    <w:rsid w:val="00E10050"/>
    <w:rsid w:val="00E101B1"/>
    <w:rsid w:val="00E24D91"/>
    <w:rsid w:val="00E263F2"/>
    <w:rsid w:val="00E26C7D"/>
    <w:rsid w:val="00E26EC3"/>
    <w:rsid w:val="00E44D29"/>
    <w:rsid w:val="00E56BD4"/>
    <w:rsid w:val="00E70A04"/>
    <w:rsid w:val="00E73D60"/>
    <w:rsid w:val="00E80CEF"/>
    <w:rsid w:val="00EA06CC"/>
    <w:rsid w:val="00EC06AC"/>
    <w:rsid w:val="00EC5A5F"/>
    <w:rsid w:val="00ED40F4"/>
    <w:rsid w:val="00ED7405"/>
    <w:rsid w:val="00EE1BF0"/>
    <w:rsid w:val="00EF4979"/>
    <w:rsid w:val="00EF6FB0"/>
    <w:rsid w:val="00F00165"/>
    <w:rsid w:val="00F046C0"/>
    <w:rsid w:val="00F07291"/>
    <w:rsid w:val="00F4179D"/>
    <w:rsid w:val="00F578CD"/>
    <w:rsid w:val="00F7381C"/>
    <w:rsid w:val="00F74C7A"/>
    <w:rsid w:val="00F967F0"/>
    <w:rsid w:val="00FB1F95"/>
    <w:rsid w:val="00FC1F15"/>
    <w:rsid w:val="00FF7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2B42"/>
    <w:pPr>
      <w:jc w:val="left"/>
    </w:pPr>
    <w:rPr>
      <w:rFonts w:eastAsia="Times New Roman"/>
      <w:sz w:val="20"/>
      <w:szCs w:val="20"/>
      <w:lang w:eastAsia="bg-BG"/>
    </w:rPr>
  </w:style>
  <w:style w:type="paragraph" w:styleId="Heading1">
    <w:name w:val="heading 1"/>
    <w:basedOn w:val="Normal"/>
    <w:next w:val="Normal"/>
    <w:link w:val="Heading1Char"/>
    <w:uiPriority w:val="9"/>
    <w:qFormat/>
    <w:rsid w:val="00252B42"/>
    <w:pPr>
      <w:keepNext/>
      <w:keepLines/>
      <w:numPr>
        <w:numId w:val="2"/>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semiHidden/>
    <w:unhideWhenUsed/>
    <w:qFormat/>
    <w:rsid w:val="00252B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2B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52B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2B4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2B4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2B4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2B4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52B4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B42"/>
    <w:rPr>
      <w:rFonts w:asciiTheme="majorHAnsi" w:eastAsiaTheme="majorEastAsia" w:hAnsiTheme="majorHAnsi" w:cstheme="majorBidi"/>
      <w:b/>
      <w:color w:val="365F91" w:themeColor="accent1" w:themeShade="BF"/>
      <w:sz w:val="32"/>
      <w:szCs w:val="32"/>
      <w:lang w:eastAsia="bg-BG"/>
    </w:rPr>
  </w:style>
  <w:style w:type="table" w:styleId="TableGrid">
    <w:name w:val="Table Grid"/>
    <w:basedOn w:val="TableNormal"/>
    <w:uiPriority w:val="99"/>
    <w:rsid w:val="00252B42"/>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List Paragraph1,List1,List Paragraph11,List Paragraph111,Colorful List - Accent 11,List Paragraph1111"/>
    <w:basedOn w:val="Normal"/>
    <w:link w:val="ListParagraphChar"/>
    <w:uiPriority w:val="34"/>
    <w:qFormat/>
    <w:rsid w:val="00252B42"/>
    <w:pPr>
      <w:ind w:left="720"/>
      <w:contextualSpacing/>
    </w:pPr>
  </w:style>
  <w:style w:type="paragraph" w:styleId="Footer">
    <w:name w:val="footer"/>
    <w:basedOn w:val="Normal"/>
    <w:link w:val="FooterChar"/>
    <w:unhideWhenUsed/>
    <w:rsid w:val="00252B42"/>
    <w:pPr>
      <w:tabs>
        <w:tab w:val="center" w:pos="4536"/>
        <w:tab w:val="right" w:pos="9072"/>
      </w:tabs>
    </w:pPr>
  </w:style>
  <w:style w:type="character" w:customStyle="1" w:styleId="FooterChar">
    <w:name w:val="Footer Char"/>
    <w:basedOn w:val="DefaultParagraphFont"/>
    <w:link w:val="Footer"/>
    <w:rsid w:val="00252B42"/>
    <w:rPr>
      <w:rFonts w:eastAsia="Times New Roman"/>
      <w:sz w:val="20"/>
      <w:szCs w:val="20"/>
      <w:lang w:eastAsia="bg-BG"/>
    </w:rPr>
  </w:style>
  <w:style w:type="paragraph" w:styleId="FootnoteText">
    <w:name w:val="footnote text"/>
    <w:basedOn w:val="Normal"/>
    <w:link w:val="FootnoteTextChar"/>
    <w:uiPriority w:val="99"/>
    <w:semiHidden/>
    <w:unhideWhenUsed/>
    <w:rsid w:val="00252B42"/>
  </w:style>
  <w:style w:type="character" w:customStyle="1" w:styleId="FootnoteTextChar">
    <w:name w:val="Footnote Text Char"/>
    <w:basedOn w:val="DefaultParagraphFont"/>
    <w:link w:val="FootnoteText"/>
    <w:uiPriority w:val="99"/>
    <w:semiHidden/>
    <w:rsid w:val="00252B42"/>
    <w:rPr>
      <w:rFonts w:eastAsia="Times New Roman"/>
      <w:sz w:val="20"/>
      <w:szCs w:val="20"/>
      <w:lang w:eastAsia="bg-BG"/>
    </w:rPr>
  </w:style>
  <w:style w:type="character" w:styleId="FootnoteReference">
    <w:name w:val="footnote reference"/>
    <w:basedOn w:val="DefaultParagraphFont"/>
    <w:uiPriority w:val="99"/>
    <w:semiHidden/>
    <w:unhideWhenUsed/>
    <w:rsid w:val="00252B42"/>
    <w:rPr>
      <w:vertAlign w:val="superscript"/>
    </w:rPr>
  </w:style>
  <w:style w:type="character" w:styleId="Hyperlink">
    <w:name w:val="Hyperlink"/>
    <w:basedOn w:val="DefaultParagraphFont"/>
    <w:uiPriority w:val="99"/>
    <w:unhideWhenUsed/>
    <w:rsid w:val="00252B42"/>
    <w:rPr>
      <w:color w:val="0000FF" w:themeColor="hyperlink"/>
      <w:u w:val="single"/>
    </w:rPr>
  </w:style>
  <w:style w:type="paragraph" w:customStyle="1" w:styleId="Default">
    <w:name w:val="Default"/>
    <w:uiPriority w:val="99"/>
    <w:rsid w:val="00252B42"/>
    <w:pPr>
      <w:jc w:val="left"/>
    </w:pPr>
    <w:rPr>
      <w:rFonts w:eastAsia="Times New Roman"/>
      <w:color w:val="000000"/>
      <w:lang w:eastAsia="bg-BG"/>
    </w:rPr>
  </w:style>
  <w:style w:type="paragraph" w:styleId="CommentText">
    <w:name w:val="annotation text"/>
    <w:basedOn w:val="Normal"/>
    <w:link w:val="CommentTextChar"/>
    <w:uiPriority w:val="99"/>
    <w:unhideWhenUsed/>
    <w:rsid w:val="00252B42"/>
  </w:style>
  <w:style w:type="character" w:customStyle="1" w:styleId="CommentTextChar">
    <w:name w:val="Comment Text Char"/>
    <w:basedOn w:val="DefaultParagraphFont"/>
    <w:link w:val="CommentText"/>
    <w:uiPriority w:val="99"/>
    <w:rsid w:val="00252B42"/>
    <w:rPr>
      <w:rFonts w:eastAsia="Times New Roman"/>
      <w:sz w:val="20"/>
      <w:szCs w:val="20"/>
      <w:lang w:eastAsia="bg-BG"/>
    </w:rPr>
  </w:style>
  <w:style w:type="character" w:customStyle="1" w:styleId="Newdocreference">
    <w:name w:val="Newdocreference"/>
    <w:basedOn w:val="DefaultParagraphFont"/>
    <w:uiPriority w:val="99"/>
    <w:rsid w:val="00252B42"/>
  </w:style>
  <w:style w:type="character" w:customStyle="1" w:styleId="Apple-converted-space">
    <w:name w:val="Apple-converted-space"/>
    <w:basedOn w:val="DefaultParagraphFont"/>
    <w:uiPriority w:val="99"/>
    <w:rsid w:val="00252B42"/>
  </w:style>
  <w:style w:type="character" w:customStyle="1" w:styleId="Samedocreference">
    <w:name w:val="Samedocreference"/>
    <w:basedOn w:val="DefaultParagraphFont"/>
    <w:uiPriority w:val="99"/>
    <w:rsid w:val="00252B42"/>
  </w:style>
  <w:style w:type="paragraph" w:styleId="BalloonText">
    <w:name w:val="Balloon Text"/>
    <w:basedOn w:val="Normal"/>
    <w:link w:val="BalloonTextChar"/>
    <w:uiPriority w:val="99"/>
    <w:semiHidden/>
    <w:unhideWhenUsed/>
    <w:rsid w:val="00252B42"/>
    <w:rPr>
      <w:rFonts w:ascii="Tahoma" w:hAnsi="Tahoma" w:cs="Tahoma"/>
      <w:sz w:val="16"/>
      <w:szCs w:val="16"/>
    </w:rPr>
  </w:style>
  <w:style w:type="character" w:customStyle="1" w:styleId="BalloonTextChar">
    <w:name w:val="Balloon Text Char"/>
    <w:basedOn w:val="DefaultParagraphFont"/>
    <w:link w:val="BalloonText"/>
    <w:uiPriority w:val="99"/>
    <w:semiHidden/>
    <w:rsid w:val="00252B42"/>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252B42"/>
    <w:rPr>
      <w:sz w:val="16"/>
      <w:szCs w:val="16"/>
    </w:rPr>
  </w:style>
  <w:style w:type="paragraph" w:styleId="CommentSubject">
    <w:name w:val="annotation subject"/>
    <w:basedOn w:val="CommentText"/>
    <w:next w:val="CommentText"/>
    <w:link w:val="CommentSubjectChar"/>
    <w:uiPriority w:val="99"/>
    <w:semiHidden/>
    <w:unhideWhenUsed/>
    <w:rsid w:val="00252B42"/>
    <w:rPr>
      <w:b/>
      <w:bCs/>
    </w:rPr>
  </w:style>
  <w:style w:type="character" w:customStyle="1" w:styleId="CommentSubjectChar">
    <w:name w:val="Comment Subject Char"/>
    <w:basedOn w:val="CommentTextChar"/>
    <w:link w:val="CommentSubject"/>
    <w:uiPriority w:val="99"/>
    <w:semiHidden/>
    <w:rsid w:val="00252B42"/>
    <w:rPr>
      <w:rFonts w:eastAsia="Times New Roman"/>
      <w:b/>
      <w:bCs/>
      <w:sz w:val="20"/>
      <w:szCs w:val="20"/>
      <w:lang w:eastAsia="bg-BG"/>
    </w:rPr>
  </w:style>
  <w:style w:type="character" w:customStyle="1" w:styleId="ListParagraphChar">
    <w:name w:val="List Paragraph Char"/>
    <w:aliases w:val="ПАРАГРАФ Char,List Paragraph1 Char,List1 Char,List Paragraph11 Char,List Paragraph111 Char,Colorful List - Accent 11 Char,List Paragraph1111 Char"/>
    <w:link w:val="ListParagraph"/>
    <w:uiPriority w:val="34"/>
    <w:qFormat/>
    <w:rsid w:val="00252B42"/>
    <w:rPr>
      <w:rFonts w:eastAsia="Times New Roman"/>
      <w:sz w:val="20"/>
      <w:szCs w:val="20"/>
      <w:lang w:eastAsia="bg-BG"/>
    </w:rPr>
  </w:style>
  <w:style w:type="paragraph" w:styleId="Header">
    <w:name w:val="header"/>
    <w:basedOn w:val="Normal"/>
    <w:link w:val="HeaderChar"/>
    <w:uiPriority w:val="99"/>
    <w:unhideWhenUsed/>
    <w:rsid w:val="00252B42"/>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2B42"/>
    <w:rPr>
      <w:rFonts w:asciiTheme="minorHAnsi" w:hAnsiTheme="minorHAnsi" w:cstheme="minorBidi"/>
      <w:sz w:val="22"/>
      <w:szCs w:val="22"/>
    </w:rPr>
  </w:style>
  <w:style w:type="character" w:customStyle="1" w:styleId="Heading3Char">
    <w:name w:val="Heading 3 Char"/>
    <w:basedOn w:val="DefaultParagraphFont"/>
    <w:link w:val="Heading3"/>
    <w:uiPriority w:val="9"/>
    <w:semiHidden/>
    <w:rsid w:val="00252B42"/>
    <w:rPr>
      <w:rFonts w:asciiTheme="majorHAnsi" w:eastAsiaTheme="majorEastAsia" w:hAnsiTheme="majorHAnsi" w:cstheme="majorBidi"/>
      <w:color w:val="243F60" w:themeColor="accent1" w:themeShade="7F"/>
      <w:lang w:eastAsia="bg-BG"/>
    </w:rPr>
  </w:style>
  <w:style w:type="paragraph" w:styleId="BodyText">
    <w:name w:val="Body Text"/>
    <w:basedOn w:val="Normal"/>
    <w:link w:val="BodyTextChar"/>
    <w:uiPriority w:val="1"/>
    <w:qFormat/>
    <w:rsid w:val="00252B42"/>
    <w:pPr>
      <w:ind w:left="140"/>
    </w:pPr>
    <w:rPr>
      <w:sz w:val="24"/>
      <w:szCs w:val="24"/>
      <w:lang w:val="en-US" w:eastAsia="en-US"/>
    </w:rPr>
  </w:style>
  <w:style w:type="character" w:customStyle="1" w:styleId="BodyTextChar">
    <w:name w:val="Body Text Char"/>
    <w:basedOn w:val="DefaultParagraphFont"/>
    <w:link w:val="BodyText"/>
    <w:uiPriority w:val="1"/>
    <w:rsid w:val="00252B42"/>
    <w:rPr>
      <w:rFonts w:eastAsia="Times New Roman"/>
      <w:lang w:val="en-US"/>
    </w:rPr>
  </w:style>
  <w:style w:type="paragraph" w:styleId="NoSpacing">
    <w:name w:val="No Spacing"/>
    <w:uiPriority w:val="1"/>
    <w:qFormat/>
    <w:rsid w:val="00252B42"/>
  </w:style>
  <w:style w:type="character" w:customStyle="1" w:styleId="Heading2Char">
    <w:name w:val="Heading 2 Char"/>
    <w:basedOn w:val="DefaultParagraphFont"/>
    <w:link w:val="Heading2"/>
    <w:uiPriority w:val="9"/>
    <w:rsid w:val="00252B4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52B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52B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52B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52B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52B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52B4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52B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252B42"/>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252B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2B4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52B42"/>
    <w:rPr>
      <w:i/>
      <w:iCs/>
      <w:color w:val="808080" w:themeColor="text1" w:themeTint="7F"/>
    </w:rPr>
  </w:style>
  <w:style w:type="character" w:styleId="Emphasis">
    <w:name w:val="Emphasis"/>
    <w:basedOn w:val="DefaultParagraphFont"/>
    <w:uiPriority w:val="20"/>
    <w:qFormat/>
    <w:rsid w:val="00252B42"/>
    <w:rPr>
      <w:i/>
      <w:iCs/>
    </w:rPr>
  </w:style>
  <w:style w:type="character" w:styleId="IntenseEmphasis">
    <w:name w:val="Intense Emphasis"/>
    <w:basedOn w:val="DefaultParagraphFont"/>
    <w:uiPriority w:val="21"/>
    <w:qFormat/>
    <w:rsid w:val="00252B42"/>
    <w:rPr>
      <w:b/>
      <w:bCs/>
      <w:i/>
      <w:iCs/>
      <w:color w:val="4F81BD" w:themeColor="accent1"/>
    </w:rPr>
  </w:style>
  <w:style w:type="character" w:styleId="Strong">
    <w:name w:val="Strong"/>
    <w:basedOn w:val="DefaultParagraphFont"/>
    <w:qFormat/>
    <w:rsid w:val="00252B42"/>
    <w:rPr>
      <w:b/>
      <w:bCs/>
    </w:rPr>
  </w:style>
  <w:style w:type="paragraph" w:styleId="Quote">
    <w:name w:val="Quote"/>
    <w:basedOn w:val="Normal"/>
    <w:next w:val="Normal"/>
    <w:link w:val="QuoteChar"/>
    <w:uiPriority w:val="29"/>
    <w:qFormat/>
    <w:rsid w:val="00252B42"/>
    <w:rPr>
      <w:i/>
      <w:iCs/>
      <w:color w:val="000000" w:themeColor="text1"/>
    </w:rPr>
  </w:style>
  <w:style w:type="character" w:customStyle="1" w:styleId="QuoteChar">
    <w:name w:val="Quote Char"/>
    <w:basedOn w:val="DefaultParagraphFont"/>
    <w:link w:val="Quote"/>
    <w:uiPriority w:val="29"/>
    <w:rsid w:val="00252B42"/>
    <w:rPr>
      <w:i/>
      <w:iCs/>
      <w:color w:val="000000" w:themeColor="text1"/>
    </w:rPr>
  </w:style>
  <w:style w:type="paragraph" w:styleId="IntenseQuote">
    <w:name w:val="Intense Quote"/>
    <w:basedOn w:val="Normal"/>
    <w:next w:val="Normal"/>
    <w:link w:val="IntenseQuoteChar"/>
    <w:uiPriority w:val="30"/>
    <w:qFormat/>
    <w:rsid w:val="00252B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2B42"/>
    <w:rPr>
      <w:b/>
      <w:bCs/>
      <w:i/>
      <w:iCs/>
      <w:color w:val="4F81BD" w:themeColor="accent1"/>
    </w:rPr>
  </w:style>
  <w:style w:type="character" w:styleId="SubtleReference">
    <w:name w:val="Subtle Reference"/>
    <w:basedOn w:val="DefaultParagraphFont"/>
    <w:uiPriority w:val="31"/>
    <w:qFormat/>
    <w:rsid w:val="00252B42"/>
    <w:rPr>
      <w:smallCaps/>
      <w:color w:val="C0504D" w:themeColor="accent2"/>
      <w:u w:val="single"/>
    </w:rPr>
  </w:style>
  <w:style w:type="character" w:styleId="IntenseReference">
    <w:name w:val="Intense Reference"/>
    <w:basedOn w:val="DefaultParagraphFont"/>
    <w:uiPriority w:val="32"/>
    <w:qFormat/>
    <w:rsid w:val="00252B42"/>
    <w:rPr>
      <w:b/>
      <w:bCs/>
      <w:smallCaps/>
      <w:color w:val="C0504D" w:themeColor="accent2"/>
      <w:spacing w:val="5"/>
      <w:u w:val="single"/>
    </w:rPr>
  </w:style>
  <w:style w:type="character" w:styleId="BookTitle">
    <w:name w:val="Book Title"/>
    <w:basedOn w:val="DefaultParagraphFont"/>
    <w:uiPriority w:val="33"/>
    <w:qFormat/>
    <w:rsid w:val="00252B42"/>
    <w:rPr>
      <w:b/>
      <w:bCs/>
      <w:smallCaps/>
      <w:spacing w:val="5"/>
    </w:rPr>
  </w:style>
  <w:style w:type="paragraph" w:styleId="EndnoteText">
    <w:name w:val="endnote text"/>
    <w:basedOn w:val="Normal"/>
    <w:link w:val="EndnoteTextChar"/>
    <w:uiPriority w:val="99"/>
    <w:semiHidden/>
    <w:unhideWhenUsed/>
    <w:rsid w:val="00252B42"/>
  </w:style>
  <w:style w:type="character" w:customStyle="1" w:styleId="EndnoteTextChar">
    <w:name w:val="Endnote Text Char"/>
    <w:basedOn w:val="DefaultParagraphFont"/>
    <w:link w:val="EndnoteText"/>
    <w:uiPriority w:val="99"/>
    <w:semiHidden/>
    <w:rsid w:val="00252B42"/>
    <w:rPr>
      <w:sz w:val="20"/>
      <w:szCs w:val="20"/>
    </w:rPr>
  </w:style>
  <w:style w:type="character" w:styleId="EndnoteReference">
    <w:name w:val="endnote reference"/>
    <w:basedOn w:val="DefaultParagraphFont"/>
    <w:uiPriority w:val="99"/>
    <w:semiHidden/>
    <w:unhideWhenUsed/>
    <w:rsid w:val="00252B42"/>
    <w:rPr>
      <w:vertAlign w:val="superscript"/>
    </w:rPr>
  </w:style>
  <w:style w:type="paragraph" w:styleId="PlainText">
    <w:name w:val="Plain Text"/>
    <w:basedOn w:val="Normal"/>
    <w:link w:val="PlainTextChar"/>
    <w:uiPriority w:val="99"/>
    <w:semiHidden/>
    <w:unhideWhenUsed/>
    <w:rsid w:val="00252B42"/>
    <w:rPr>
      <w:rFonts w:ascii="Courier New" w:hAnsi="Courier New" w:cs="Courier New"/>
      <w:sz w:val="21"/>
      <w:szCs w:val="21"/>
    </w:rPr>
  </w:style>
  <w:style w:type="character" w:customStyle="1" w:styleId="PlainTextChar">
    <w:name w:val="Plain Text Char"/>
    <w:basedOn w:val="DefaultParagraphFont"/>
    <w:link w:val="PlainText"/>
    <w:uiPriority w:val="99"/>
    <w:rsid w:val="00252B42"/>
    <w:rPr>
      <w:rFonts w:ascii="Courier New" w:hAnsi="Courier New" w:cs="Courier New"/>
      <w:sz w:val="21"/>
      <w:szCs w:val="21"/>
    </w:rPr>
  </w:style>
  <w:style w:type="paragraph" w:styleId="EnvelopeAddress">
    <w:name w:val="envelope address"/>
    <w:basedOn w:val="Normal"/>
    <w:uiPriority w:val="99"/>
    <w:unhideWhenUsed/>
    <w:rsid w:val="00252B42"/>
    <w:pPr>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252B42"/>
    <w:rPr>
      <w:rFonts w:asciiTheme="majorHAnsi" w:eastAsiaTheme="majorEastAsia" w:hAnsiTheme="majorHAnsi" w:cstheme="majorBidi"/>
    </w:rPr>
  </w:style>
  <w:style w:type="paragraph" w:styleId="HTMLPreformatted">
    <w:name w:val="HTML Preformatted"/>
    <w:basedOn w:val="Normal"/>
    <w:link w:val="HTMLPreformattedChar"/>
    <w:uiPriority w:val="99"/>
    <w:unhideWhenUsed/>
    <w:rsid w:val="009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00B20"/>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571">
      <w:bodyDiv w:val="1"/>
      <w:marLeft w:val="0"/>
      <w:marRight w:val="0"/>
      <w:marTop w:val="0"/>
      <w:marBottom w:val="0"/>
      <w:divBdr>
        <w:top w:val="none" w:sz="0" w:space="0" w:color="auto"/>
        <w:left w:val="none" w:sz="0" w:space="0" w:color="auto"/>
        <w:bottom w:val="none" w:sz="0" w:space="0" w:color="auto"/>
        <w:right w:val="none" w:sz="0" w:space="0" w:color="auto"/>
      </w:divBdr>
    </w:div>
    <w:div w:id="49573904">
      <w:bodyDiv w:val="1"/>
      <w:marLeft w:val="0"/>
      <w:marRight w:val="0"/>
      <w:marTop w:val="0"/>
      <w:marBottom w:val="0"/>
      <w:divBdr>
        <w:top w:val="none" w:sz="0" w:space="0" w:color="auto"/>
        <w:left w:val="none" w:sz="0" w:space="0" w:color="auto"/>
        <w:bottom w:val="none" w:sz="0" w:space="0" w:color="auto"/>
        <w:right w:val="none" w:sz="0" w:space="0" w:color="auto"/>
      </w:divBdr>
    </w:div>
    <w:div w:id="100876416">
      <w:bodyDiv w:val="1"/>
      <w:marLeft w:val="0"/>
      <w:marRight w:val="0"/>
      <w:marTop w:val="0"/>
      <w:marBottom w:val="0"/>
      <w:divBdr>
        <w:top w:val="none" w:sz="0" w:space="0" w:color="auto"/>
        <w:left w:val="none" w:sz="0" w:space="0" w:color="auto"/>
        <w:bottom w:val="none" w:sz="0" w:space="0" w:color="auto"/>
        <w:right w:val="none" w:sz="0" w:space="0" w:color="auto"/>
      </w:divBdr>
    </w:div>
    <w:div w:id="130363993">
      <w:bodyDiv w:val="1"/>
      <w:marLeft w:val="0"/>
      <w:marRight w:val="0"/>
      <w:marTop w:val="0"/>
      <w:marBottom w:val="0"/>
      <w:divBdr>
        <w:top w:val="none" w:sz="0" w:space="0" w:color="auto"/>
        <w:left w:val="none" w:sz="0" w:space="0" w:color="auto"/>
        <w:bottom w:val="none" w:sz="0" w:space="0" w:color="auto"/>
        <w:right w:val="none" w:sz="0" w:space="0" w:color="auto"/>
      </w:divBdr>
    </w:div>
    <w:div w:id="135535218">
      <w:bodyDiv w:val="1"/>
      <w:marLeft w:val="0"/>
      <w:marRight w:val="0"/>
      <w:marTop w:val="0"/>
      <w:marBottom w:val="0"/>
      <w:divBdr>
        <w:top w:val="none" w:sz="0" w:space="0" w:color="auto"/>
        <w:left w:val="none" w:sz="0" w:space="0" w:color="auto"/>
        <w:bottom w:val="none" w:sz="0" w:space="0" w:color="auto"/>
        <w:right w:val="none" w:sz="0" w:space="0" w:color="auto"/>
      </w:divBdr>
    </w:div>
    <w:div w:id="293098016">
      <w:bodyDiv w:val="1"/>
      <w:marLeft w:val="0"/>
      <w:marRight w:val="0"/>
      <w:marTop w:val="0"/>
      <w:marBottom w:val="0"/>
      <w:divBdr>
        <w:top w:val="none" w:sz="0" w:space="0" w:color="auto"/>
        <w:left w:val="none" w:sz="0" w:space="0" w:color="auto"/>
        <w:bottom w:val="none" w:sz="0" w:space="0" w:color="auto"/>
        <w:right w:val="none" w:sz="0" w:space="0" w:color="auto"/>
      </w:divBdr>
    </w:div>
    <w:div w:id="370499303">
      <w:bodyDiv w:val="1"/>
      <w:marLeft w:val="0"/>
      <w:marRight w:val="0"/>
      <w:marTop w:val="0"/>
      <w:marBottom w:val="0"/>
      <w:divBdr>
        <w:top w:val="none" w:sz="0" w:space="0" w:color="auto"/>
        <w:left w:val="none" w:sz="0" w:space="0" w:color="auto"/>
        <w:bottom w:val="none" w:sz="0" w:space="0" w:color="auto"/>
        <w:right w:val="none" w:sz="0" w:space="0" w:color="auto"/>
      </w:divBdr>
    </w:div>
    <w:div w:id="379014603">
      <w:bodyDiv w:val="1"/>
      <w:marLeft w:val="0"/>
      <w:marRight w:val="0"/>
      <w:marTop w:val="0"/>
      <w:marBottom w:val="0"/>
      <w:divBdr>
        <w:top w:val="none" w:sz="0" w:space="0" w:color="auto"/>
        <w:left w:val="none" w:sz="0" w:space="0" w:color="auto"/>
        <w:bottom w:val="none" w:sz="0" w:space="0" w:color="auto"/>
        <w:right w:val="none" w:sz="0" w:space="0" w:color="auto"/>
      </w:divBdr>
    </w:div>
    <w:div w:id="459886351">
      <w:bodyDiv w:val="1"/>
      <w:marLeft w:val="0"/>
      <w:marRight w:val="0"/>
      <w:marTop w:val="0"/>
      <w:marBottom w:val="0"/>
      <w:divBdr>
        <w:top w:val="none" w:sz="0" w:space="0" w:color="auto"/>
        <w:left w:val="none" w:sz="0" w:space="0" w:color="auto"/>
        <w:bottom w:val="none" w:sz="0" w:space="0" w:color="auto"/>
        <w:right w:val="none" w:sz="0" w:space="0" w:color="auto"/>
      </w:divBdr>
    </w:div>
    <w:div w:id="503710284">
      <w:bodyDiv w:val="1"/>
      <w:marLeft w:val="0"/>
      <w:marRight w:val="0"/>
      <w:marTop w:val="0"/>
      <w:marBottom w:val="0"/>
      <w:divBdr>
        <w:top w:val="none" w:sz="0" w:space="0" w:color="auto"/>
        <w:left w:val="none" w:sz="0" w:space="0" w:color="auto"/>
        <w:bottom w:val="none" w:sz="0" w:space="0" w:color="auto"/>
        <w:right w:val="none" w:sz="0" w:space="0" w:color="auto"/>
      </w:divBdr>
    </w:div>
    <w:div w:id="552348680">
      <w:bodyDiv w:val="1"/>
      <w:marLeft w:val="0"/>
      <w:marRight w:val="0"/>
      <w:marTop w:val="0"/>
      <w:marBottom w:val="0"/>
      <w:divBdr>
        <w:top w:val="none" w:sz="0" w:space="0" w:color="auto"/>
        <w:left w:val="none" w:sz="0" w:space="0" w:color="auto"/>
        <w:bottom w:val="none" w:sz="0" w:space="0" w:color="auto"/>
        <w:right w:val="none" w:sz="0" w:space="0" w:color="auto"/>
      </w:divBdr>
    </w:div>
    <w:div w:id="629745672">
      <w:bodyDiv w:val="1"/>
      <w:marLeft w:val="0"/>
      <w:marRight w:val="0"/>
      <w:marTop w:val="0"/>
      <w:marBottom w:val="0"/>
      <w:divBdr>
        <w:top w:val="none" w:sz="0" w:space="0" w:color="auto"/>
        <w:left w:val="none" w:sz="0" w:space="0" w:color="auto"/>
        <w:bottom w:val="none" w:sz="0" w:space="0" w:color="auto"/>
        <w:right w:val="none" w:sz="0" w:space="0" w:color="auto"/>
      </w:divBdr>
    </w:div>
    <w:div w:id="698161654">
      <w:bodyDiv w:val="1"/>
      <w:marLeft w:val="0"/>
      <w:marRight w:val="0"/>
      <w:marTop w:val="0"/>
      <w:marBottom w:val="0"/>
      <w:divBdr>
        <w:top w:val="none" w:sz="0" w:space="0" w:color="auto"/>
        <w:left w:val="none" w:sz="0" w:space="0" w:color="auto"/>
        <w:bottom w:val="none" w:sz="0" w:space="0" w:color="auto"/>
        <w:right w:val="none" w:sz="0" w:space="0" w:color="auto"/>
      </w:divBdr>
    </w:div>
    <w:div w:id="790325158">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48182667">
      <w:bodyDiv w:val="1"/>
      <w:marLeft w:val="0"/>
      <w:marRight w:val="0"/>
      <w:marTop w:val="0"/>
      <w:marBottom w:val="0"/>
      <w:divBdr>
        <w:top w:val="none" w:sz="0" w:space="0" w:color="auto"/>
        <w:left w:val="none" w:sz="0" w:space="0" w:color="auto"/>
        <w:bottom w:val="none" w:sz="0" w:space="0" w:color="auto"/>
        <w:right w:val="none" w:sz="0" w:space="0" w:color="auto"/>
      </w:divBdr>
    </w:div>
    <w:div w:id="858588594">
      <w:bodyDiv w:val="1"/>
      <w:marLeft w:val="0"/>
      <w:marRight w:val="0"/>
      <w:marTop w:val="0"/>
      <w:marBottom w:val="0"/>
      <w:divBdr>
        <w:top w:val="none" w:sz="0" w:space="0" w:color="auto"/>
        <w:left w:val="none" w:sz="0" w:space="0" w:color="auto"/>
        <w:bottom w:val="none" w:sz="0" w:space="0" w:color="auto"/>
        <w:right w:val="none" w:sz="0" w:space="0" w:color="auto"/>
      </w:divBdr>
    </w:div>
    <w:div w:id="974020221">
      <w:bodyDiv w:val="1"/>
      <w:marLeft w:val="0"/>
      <w:marRight w:val="0"/>
      <w:marTop w:val="0"/>
      <w:marBottom w:val="0"/>
      <w:divBdr>
        <w:top w:val="none" w:sz="0" w:space="0" w:color="auto"/>
        <w:left w:val="none" w:sz="0" w:space="0" w:color="auto"/>
        <w:bottom w:val="none" w:sz="0" w:space="0" w:color="auto"/>
        <w:right w:val="none" w:sz="0" w:space="0" w:color="auto"/>
      </w:divBdr>
    </w:div>
    <w:div w:id="1061946375">
      <w:bodyDiv w:val="1"/>
      <w:marLeft w:val="0"/>
      <w:marRight w:val="0"/>
      <w:marTop w:val="0"/>
      <w:marBottom w:val="0"/>
      <w:divBdr>
        <w:top w:val="none" w:sz="0" w:space="0" w:color="auto"/>
        <w:left w:val="none" w:sz="0" w:space="0" w:color="auto"/>
        <w:bottom w:val="none" w:sz="0" w:space="0" w:color="auto"/>
        <w:right w:val="none" w:sz="0" w:space="0" w:color="auto"/>
      </w:divBdr>
    </w:div>
    <w:div w:id="1105926545">
      <w:bodyDiv w:val="1"/>
      <w:marLeft w:val="0"/>
      <w:marRight w:val="0"/>
      <w:marTop w:val="0"/>
      <w:marBottom w:val="0"/>
      <w:divBdr>
        <w:top w:val="none" w:sz="0" w:space="0" w:color="auto"/>
        <w:left w:val="none" w:sz="0" w:space="0" w:color="auto"/>
        <w:bottom w:val="none" w:sz="0" w:space="0" w:color="auto"/>
        <w:right w:val="none" w:sz="0" w:space="0" w:color="auto"/>
      </w:divBdr>
    </w:div>
    <w:div w:id="1108740616">
      <w:bodyDiv w:val="1"/>
      <w:marLeft w:val="0"/>
      <w:marRight w:val="0"/>
      <w:marTop w:val="0"/>
      <w:marBottom w:val="0"/>
      <w:divBdr>
        <w:top w:val="none" w:sz="0" w:space="0" w:color="auto"/>
        <w:left w:val="none" w:sz="0" w:space="0" w:color="auto"/>
        <w:bottom w:val="none" w:sz="0" w:space="0" w:color="auto"/>
        <w:right w:val="none" w:sz="0" w:space="0" w:color="auto"/>
      </w:divBdr>
    </w:div>
    <w:div w:id="1233851030">
      <w:bodyDiv w:val="1"/>
      <w:marLeft w:val="0"/>
      <w:marRight w:val="0"/>
      <w:marTop w:val="0"/>
      <w:marBottom w:val="0"/>
      <w:divBdr>
        <w:top w:val="none" w:sz="0" w:space="0" w:color="auto"/>
        <w:left w:val="none" w:sz="0" w:space="0" w:color="auto"/>
        <w:bottom w:val="none" w:sz="0" w:space="0" w:color="auto"/>
        <w:right w:val="none" w:sz="0" w:space="0" w:color="auto"/>
      </w:divBdr>
    </w:div>
    <w:div w:id="1286690502">
      <w:bodyDiv w:val="1"/>
      <w:marLeft w:val="0"/>
      <w:marRight w:val="0"/>
      <w:marTop w:val="0"/>
      <w:marBottom w:val="0"/>
      <w:divBdr>
        <w:top w:val="none" w:sz="0" w:space="0" w:color="auto"/>
        <w:left w:val="none" w:sz="0" w:space="0" w:color="auto"/>
        <w:bottom w:val="none" w:sz="0" w:space="0" w:color="auto"/>
        <w:right w:val="none" w:sz="0" w:space="0" w:color="auto"/>
      </w:divBdr>
    </w:div>
    <w:div w:id="1399863162">
      <w:bodyDiv w:val="1"/>
      <w:marLeft w:val="0"/>
      <w:marRight w:val="0"/>
      <w:marTop w:val="0"/>
      <w:marBottom w:val="0"/>
      <w:divBdr>
        <w:top w:val="none" w:sz="0" w:space="0" w:color="auto"/>
        <w:left w:val="none" w:sz="0" w:space="0" w:color="auto"/>
        <w:bottom w:val="none" w:sz="0" w:space="0" w:color="auto"/>
        <w:right w:val="none" w:sz="0" w:space="0" w:color="auto"/>
      </w:divBdr>
    </w:div>
    <w:div w:id="1504122903">
      <w:bodyDiv w:val="1"/>
      <w:marLeft w:val="0"/>
      <w:marRight w:val="0"/>
      <w:marTop w:val="0"/>
      <w:marBottom w:val="0"/>
      <w:divBdr>
        <w:top w:val="none" w:sz="0" w:space="0" w:color="auto"/>
        <w:left w:val="none" w:sz="0" w:space="0" w:color="auto"/>
        <w:bottom w:val="none" w:sz="0" w:space="0" w:color="auto"/>
        <w:right w:val="none" w:sz="0" w:space="0" w:color="auto"/>
      </w:divBdr>
    </w:div>
    <w:div w:id="1562717299">
      <w:bodyDiv w:val="1"/>
      <w:marLeft w:val="0"/>
      <w:marRight w:val="0"/>
      <w:marTop w:val="0"/>
      <w:marBottom w:val="0"/>
      <w:divBdr>
        <w:top w:val="none" w:sz="0" w:space="0" w:color="auto"/>
        <w:left w:val="none" w:sz="0" w:space="0" w:color="auto"/>
        <w:bottom w:val="none" w:sz="0" w:space="0" w:color="auto"/>
        <w:right w:val="none" w:sz="0" w:space="0" w:color="auto"/>
      </w:divBdr>
    </w:div>
    <w:div w:id="1820419031">
      <w:bodyDiv w:val="1"/>
      <w:marLeft w:val="0"/>
      <w:marRight w:val="0"/>
      <w:marTop w:val="0"/>
      <w:marBottom w:val="0"/>
      <w:divBdr>
        <w:top w:val="none" w:sz="0" w:space="0" w:color="auto"/>
        <w:left w:val="none" w:sz="0" w:space="0" w:color="auto"/>
        <w:bottom w:val="none" w:sz="0" w:space="0" w:color="auto"/>
        <w:right w:val="none" w:sz="0" w:space="0" w:color="auto"/>
      </w:divBdr>
    </w:div>
    <w:div w:id="1864588902">
      <w:bodyDiv w:val="1"/>
      <w:marLeft w:val="0"/>
      <w:marRight w:val="0"/>
      <w:marTop w:val="0"/>
      <w:marBottom w:val="0"/>
      <w:divBdr>
        <w:top w:val="none" w:sz="0" w:space="0" w:color="auto"/>
        <w:left w:val="none" w:sz="0" w:space="0" w:color="auto"/>
        <w:bottom w:val="none" w:sz="0" w:space="0" w:color="auto"/>
        <w:right w:val="none" w:sz="0" w:space="0" w:color="auto"/>
      </w:divBdr>
    </w:div>
    <w:div w:id="1874612956">
      <w:bodyDiv w:val="1"/>
      <w:marLeft w:val="0"/>
      <w:marRight w:val="0"/>
      <w:marTop w:val="0"/>
      <w:marBottom w:val="0"/>
      <w:divBdr>
        <w:top w:val="none" w:sz="0" w:space="0" w:color="auto"/>
        <w:left w:val="none" w:sz="0" w:space="0" w:color="auto"/>
        <w:bottom w:val="none" w:sz="0" w:space="0" w:color="auto"/>
        <w:right w:val="none" w:sz="0" w:space="0" w:color="auto"/>
      </w:divBdr>
    </w:div>
    <w:div w:id="20298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umis2020.government.bg" TargetMode="External"/><Relationship Id="rId2" Type="http://schemas.openxmlformats.org/officeDocument/2006/relationships/numbering" Target="numbering.xml"/><Relationship Id="rId16" Type="http://schemas.openxmlformats.org/officeDocument/2006/relationships/hyperlink" Target="mailto:migpresp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9701C-1449-475F-A90B-1487ABCE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10994</Words>
  <Characters>62668</Characters>
  <Application>Microsoft Office Word</Application>
  <DocSecurity>0</DocSecurity>
  <Lines>522</Lines>
  <Paragraphs>147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Nik</Company>
  <LinksUpToDate>false</LinksUpToDate>
  <CharactersWithSpaces>73515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MIG</cp:lastModifiedBy>
  <cp:revision>83</cp:revision>
  <cp:lastPrinted>2020-09-08T10:26:00Z</cp:lastPrinted>
  <dcterms:created xsi:type="dcterms:W3CDTF">2020-10-15T11:57:00Z</dcterms:created>
  <dcterms:modified xsi:type="dcterms:W3CDTF">2020-11-16T11:39:00Z</dcterms:modified>
</cp:coreProperties>
</file>