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1" w:rsidRPr="00C135EF" w:rsidRDefault="004678F4" w:rsidP="007A5092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bg-BG" w:eastAsia="fr-FR"/>
        </w:rPr>
      </w:pPr>
      <w:r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ВЪПРОСИ И ОТГОВОРИ </w:t>
      </w:r>
      <w:r w:rsidR="00D03CF3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(РАЗЯСНЕНИЯ) </w:t>
      </w:r>
      <w:r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ПРОЦЕДУРА</w:t>
      </w:r>
      <w:r w:rsidR="00904BB1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ЧРЕЗ ПОДБОР НА </w:t>
      </w:r>
      <w:r w:rsidR="00904BB1" w:rsidRPr="00C135EF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ПРОЕКТИ </w:t>
      </w:r>
      <w:r w:rsidR="007A5092" w:rsidRPr="00C135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fr-FR"/>
        </w:rPr>
        <w:t>BG16M1OP002-3.016 – “</w:t>
      </w:r>
      <w:r w:rsidR="007A5092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МЕРКИ ЗА ПОДОБРЯВАНЕ НА ПРИРОДОЗАЩИТНОТО СЪСТОЯНИЕ НА ПТИЦИ” </w:t>
      </w:r>
      <w:r w:rsidR="00904BB1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ПРИОРИТЕТНА ОС </w:t>
      </w:r>
      <w:r w:rsidR="007A5092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3 </w:t>
      </w:r>
      <w:r w:rsidR="00904BB1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„</w:t>
      </w:r>
      <w:r w:rsidR="007A5092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НАТУРА 2000 И БИОРАЗНООБРАЗИЕ“ НА</w:t>
      </w:r>
      <w:r w:rsidR="00904BB1" w:rsidRPr="00C135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ОПОС 2014-2020</w:t>
      </w:r>
    </w:p>
    <w:p w:rsidR="001F6B34" w:rsidRPr="00C135EF" w:rsidRDefault="001F6B34" w:rsidP="002F1D1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:rsidR="005F4CFE" w:rsidRPr="00C135EF" w:rsidRDefault="005F4CFE" w:rsidP="005F4CFE">
      <w:pPr>
        <w:rPr>
          <w:lang w:val="bg-BG"/>
        </w:rPr>
      </w:pPr>
    </w:p>
    <w:p w:rsidR="005F4CFE" w:rsidRPr="00C135EF" w:rsidRDefault="005F4CFE" w:rsidP="00326218">
      <w:pPr>
        <w:keepNext/>
        <w:keepLines/>
        <w:spacing w:before="40" w:after="0"/>
        <w:ind w:firstLine="7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13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Въпроси (Получени по електронна поща на </w:t>
      </w:r>
      <w:r w:rsidR="0011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9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326218" w:rsidRPr="00C13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11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326218" w:rsidRPr="00C13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.2019 г. </w:t>
      </w:r>
      <w:r w:rsidR="00A91278" w:rsidRPr="00A91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16:45</w:t>
      </w:r>
      <w:r w:rsidR="00A9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proofErr w:type="gramStart"/>
      <w:r w:rsidR="00326218" w:rsidRPr="00C13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ч.,</w:t>
      </w:r>
      <w:proofErr w:type="gramEnd"/>
      <w:r w:rsidR="00581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от </w:t>
      </w:r>
      <w:r w:rsidR="00110FD1" w:rsidRPr="0011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ЮЛНЦ "ОПИМОС"</w:t>
      </w:r>
      <w:r w:rsidRPr="0011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)</w:t>
      </w:r>
    </w:p>
    <w:p w:rsidR="00A91278" w:rsidRPr="00A91278" w:rsidRDefault="00A91278" w:rsidP="00A91278">
      <w:pPr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9127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Във връзка с Насоките за кандидатстване по процедура № BG16M1OP002-3.016,</w:t>
      </w:r>
    </w:p>
    <w:p w:rsidR="00A91278" w:rsidRPr="00A91278" w:rsidRDefault="00A91278" w:rsidP="00A9127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9127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Моля да потвърдите, че по посочената процедура, е допустим кандидат/партньор висше училище, регистрирано по Закона за висшето образование, което е вписано като научна организация в Регистъра за научната дейност в Република България, поддържан от Министерството на образованието и науката ( https://cris.nacid.bg/public/organization-search ).</w:t>
      </w:r>
    </w:p>
    <w:p w:rsidR="00B66AAC" w:rsidRDefault="00B66AAC" w:rsidP="00085B5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085B52" w:rsidRDefault="00267C1F" w:rsidP="00085B5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13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Отговор (Разяснения на УО на ОПОС 2014-2020 г., утвърдени на </w:t>
      </w:r>
      <w:r w:rsidR="00A9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20.</w:t>
      </w:r>
      <w:bookmarkStart w:id="0" w:name="_GoBack"/>
      <w:bookmarkEnd w:id="0"/>
      <w:r w:rsidRPr="00C135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3F26D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135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.2019 г.) :</w:t>
      </w:r>
    </w:p>
    <w:p w:rsidR="00A91278" w:rsidRDefault="00A91278" w:rsidP="00A91278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91278" w:rsidRPr="00A91278" w:rsidRDefault="00A91278" w:rsidP="00A912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Съгласно раздел 11 „Допустими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насоките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част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условия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допустими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процедура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BG16M1OP002-3.016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Мерки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подобряване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природозащитното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състояние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птици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 са: структури/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звена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структурата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МОСВ и МЗХГ (ИАГ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нейните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структури),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отговорни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формиране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прилагане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изпълнение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политиката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областта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Натура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2000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подобряване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природозащитното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състояние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видове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природни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местообитания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юридически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лица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нестопанска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цел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общини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). </w:t>
      </w:r>
    </w:p>
    <w:p w:rsidR="00A91278" w:rsidRPr="00A91278" w:rsidRDefault="00A91278" w:rsidP="00A912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Съгласно § 1, т. 1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Допълнителните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разпоредби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насърчаване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изследвания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,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организация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юридическо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лице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което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извършва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изследвания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съответствие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действащото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законодателство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Съгласно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разпоредбата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6,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1, т. 3 и 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16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образование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(ЗВО),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юридическо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лице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предмет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: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развитие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културата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иновационната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възниква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юридическо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лице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след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обнародване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Държавен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вестник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решение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Народното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събрание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неговото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създаване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Видно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изложеното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извършват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изследвания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съответствие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действащото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законодателство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включително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чрез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създадени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самостоятелни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структурни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звена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извършване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дългосрочна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научноизследователска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(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). </w:t>
      </w:r>
    </w:p>
    <w:p w:rsidR="00A91278" w:rsidRDefault="00A91278" w:rsidP="00A91278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91278" w:rsidRPr="00A91278" w:rsidRDefault="00A91278" w:rsidP="00A91278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В допълнение, изискване по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процедурата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представят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:</w:t>
      </w:r>
    </w:p>
    <w:p w:rsidR="00A91278" w:rsidRPr="00A91278" w:rsidRDefault="00A91278" w:rsidP="00A91278">
      <w:pPr>
        <w:pStyle w:val="ListParagraph"/>
        <w:widowControl w:val="0"/>
        <w:numPr>
          <w:ilvl w:val="2"/>
          <w:numId w:val="20"/>
        </w:numPr>
        <w:tabs>
          <w:tab w:val="left" w:pos="12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документ, удостоверяващ, че съответната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организация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вписана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Регистъра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Република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България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поддържан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Министерството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образованието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(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раздел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24, т. 19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насоките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част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условия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“);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Осъществяващите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РБ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организации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вписват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регистър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РБ,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воден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Министерството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образованието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съгласно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7б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насърчаване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изследвания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което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обстоятелство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следва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бъде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посочено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Управляващия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етап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Регистърът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публичен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поддържа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МОН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чрез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Националния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център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информация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документация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</w:t>
      </w:r>
    </w:p>
    <w:p w:rsidR="00A91278" w:rsidRPr="00A91278" w:rsidRDefault="00A91278" w:rsidP="00A91278">
      <w:pPr>
        <w:pStyle w:val="ListParagraph"/>
        <w:widowControl w:val="0"/>
        <w:numPr>
          <w:ilvl w:val="2"/>
          <w:numId w:val="20"/>
        </w:numPr>
        <w:tabs>
          <w:tab w:val="left" w:pos="12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декларация за съгласие от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първостепенния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разпоредител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бюджет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процедурата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регистрирано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ЗВО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допустимо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представи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решение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академичния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съвет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процедурата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Съгласно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30,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1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ЗВО,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Академичният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съвет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ръководство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учебната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който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: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ежегодно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приема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бюджета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висшето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училище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контролира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неговото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изпълнение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.</w:t>
      </w:r>
    </w:p>
    <w:p w:rsidR="00A91278" w:rsidRPr="00A91278" w:rsidRDefault="00A91278" w:rsidP="00A91278">
      <w:pPr>
        <w:widowControl w:val="0"/>
        <w:tabs>
          <w:tab w:val="left" w:pos="12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91278" w:rsidRPr="00A91278" w:rsidRDefault="00A91278" w:rsidP="00A912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ледва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да се има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предвид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качеството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бенефициенти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следва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докажат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са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състояние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осигурят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разделянето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икономическата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неикономическата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им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(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включително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отношение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приходите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източниците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финансиране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). С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цел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спазване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правилата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държавни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помощи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следва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подадат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етап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доказателствените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документи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посочени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раздел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24, т. 24.20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насоките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част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„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условия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кандидатстване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“.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Тези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документи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доказват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научните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институти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осигуряват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разделяне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икономическата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неикономическата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(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включително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отношение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приходите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източниците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финансиране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както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допуска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представители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кандидата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Управляващия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орган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ОПОС 2014-2020 г.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извършване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проверки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място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спазване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това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задължение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. </w:t>
      </w:r>
    </w:p>
    <w:p w:rsidR="00A91278" w:rsidRPr="00A91278" w:rsidRDefault="00A91278" w:rsidP="00A912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 административните договори за БФП,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всички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бенефициентите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задължат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всичко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придобито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изпълнението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дейностите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процедурата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бъде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използвано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само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неикономически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цели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включително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бенефициентите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ще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се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задължат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спазват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разпоредбите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действащото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законодателство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областта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държавните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помощи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допускат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средства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или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активи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придобити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изпълнението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проекта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бъдат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предоставяни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трети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лица</w:t>
      </w:r>
      <w:proofErr w:type="spellEnd"/>
      <w:r w:rsidRPr="00A912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нарушение на това законодателство.</w:t>
      </w:r>
    </w:p>
    <w:p w:rsidR="00A91278" w:rsidRPr="00CC3ADA" w:rsidRDefault="00A91278" w:rsidP="00A91278">
      <w:pPr>
        <w:jc w:val="both"/>
      </w:pPr>
    </w:p>
    <w:sectPr w:rsidR="00A91278" w:rsidRPr="00CC3ADA" w:rsidSect="00A91278">
      <w:headerReference w:type="default" r:id="rId8"/>
      <w:pgSz w:w="12240" w:h="15840"/>
      <w:pgMar w:top="1417" w:right="1183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EB" w:rsidRDefault="002F68EB" w:rsidP="002F1D11">
      <w:pPr>
        <w:spacing w:after="0" w:line="240" w:lineRule="auto"/>
      </w:pPr>
      <w:r>
        <w:separator/>
      </w:r>
    </w:p>
  </w:endnote>
  <w:endnote w:type="continuationSeparator" w:id="0">
    <w:p w:rsidR="002F68EB" w:rsidRDefault="002F68EB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EB" w:rsidRDefault="002F68EB" w:rsidP="002F1D11">
      <w:pPr>
        <w:spacing w:after="0" w:line="240" w:lineRule="auto"/>
      </w:pPr>
      <w:r>
        <w:separator/>
      </w:r>
    </w:p>
  </w:footnote>
  <w:footnote w:type="continuationSeparator" w:id="0">
    <w:p w:rsidR="002F68EB" w:rsidRDefault="002F68EB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954"/>
      <w:gridCol w:w="1984"/>
    </w:tblGrid>
    <w:tr w:rsidR="008C7DFA" w:rsidRPr="008C7DFA" w:rsidTr="00537A30">
      <w:trPr>
        <w:trHeight w:val="1128"/>
      </w:trPr>
      <w:tc>
        <w:tcPr>
          <w:tcW w:w="1843" w:type="dxa"/>
          <w:shd w:val="clear" w:color="auto" w:fill="auto"/>
        </w:tcPr>
        <w:p w:rsidR="008C7DFA" w:rsidRPr="008C7DFA" w:rsidRDefault="008C7DFA" w:rsidP="008C7DFA">
          <w:pPr>
            <w:tabs>
              <w:tab w:val="left" w:pos="1315"/>
            </w:tabs>
            <w:spacing w:after="0" w:line="240" w:lineRule="auto"/>
            <w:rPr>
              <w:rFonts w:ascii="Verdana" w:eastAsia="Times New Roman" w:hAnsi="Verdana" w:cs="Times New Roman"/>
              <w:lang w:val="bg-BG" w:eastAsia="bg-BG"/>
            </w:rPr>
          </w:pPr>
          <w:r>
            <w:rPr>
              <w:rFonts w:ascii="Verdana" w:eastAsia="Times New Roman" w:hAnsi="Verdana" w:cs="Times New Roman"/>
              <w:noProof/>
              <w:lang w:val="bg-BG" w:eastAsia="bg-BG"/>
            </w:rPr>
            <w:drawing>
              <wp:anchor distT="0" distB="0" distL="114300" distR="114300" simplePos="0" relativeHeight="251656192" behindDoc="0" locked="0" layoutInCell="1" allowOverlap="1" wp14:anchorId="523E4941" wp14:editId="3A8D1C27">
                <wp:simplePos x="0" y="0"/>
                <wp:positionH relativeFrom="margin">
                  <wp:posOffset>-30480</wp:posOffset>
                </wp:positionH>
                <wp:positionV relativeFrom="margin">
                  <wp:posOffset>80645</wp:posOffset>
                </wp:positionV>
                <wp:extent cx="752475" cy="531495"/>
                <wp:effectExtent l="0" t="0" r="9525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57554F" w:rsidRDefault="0057554F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</w:p>
        <w:p w:rsidR="008C7DFA" w:rsidRPr="008C7DFA" w:rsidRDefault="008C7DFA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  <w:r w:rsidRPr="008C7DF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  <w:t>МИНИСТЕРСТВО НА ОКОЛНАТА СРЕДА И ВОДИТЕ</w:t>
          </w:r>
        </w:p>
        <w:p w:rsidR="008C7DFA" w:rsidRPr="008C7DFA" w:rsidRDefault="008C7DFA" w:rsidP="00537A30">
          <w:pPr>
            <w:spacing w:after="0" w:line="240" w:lineRule="auto"/>
            <w:jc w:val="center"/>
            <w:rPr>
              <w:rFonts w:ascii="Verdana" w:eastAsia="Times New Roman" w:hAnsi="Verdana" w:cs="Times New Roman"/>
              <w:lang w:val="bg-BG" w:eastAsia="bg-BG"/>
            </w:rPr>
          </w:pPr>
          <w:r w:rsidRPr="008C7DFA">
            <w:rPr>
              <w:rFonts w:ascii="Times New Roman" w:eastAsia="Times New Roman" w:hAnsi="Times New Roman" w:cs="Times New Roman"/>
              <w:b/>
              <w:sz w:val="20"/>
              <w:szCs w:val="24"/>
              <w:lang w:val="bg-BG" w:eastAsia="bg-BG"/>
            </w:rPr>
            <w:t>Главна дирекция „Оперативна програма „Околна среда“ – Управляващ орган на ОПОС 2014-2020 г.</w:t>
          </w:r>
        </w:p>
      </w:tc>
      <w:tc>
        <w:tcPr>
          <w:tcW w:w="1984" w:type="dxa"/>
        </w:tcPr>
        <w:p w:rsidR="008C7DFA" w:rsidRPr="008C7DFA" w:rsidRDefault="00C90038" w:rsidP="00077782">
          <w:pPr>
            <w:pStyle w:val="TableContents"/>
            <w:tabs>
              <w:tab w:val="center" w:pos="1168"/>
              <w:tab w:val="right" w:pos="2336"/>
            </w:tabs>
            <w:spacing w:after="0"/>
            <w:rPr>
              <w:b/>
              <w:sz w:val="12"/>
              <w:szCs w:val="12"/>
              <w:lang w:val="bg-BG"/>
            </w:rPr>
          </w:pPr>
          <w:r>
            <w:rPr>
              <w:b/>
              <w:noProof/>
              <w:sz w:val="20"/>
              <w:lang w:val="bg-BG"/>
            </w:rPr>
            <w:drawing>
              <wp:anchor distT="0" distB="0" distL="114300" distR="114300" simplePos="0" relativeHeight="251658240" behindDoc="0" locked="0" layoutInCell="1" allowOverlap="1" wp14:anchorId="527DE054" wp14:editId="4213E06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7050" cy="356870"/>
                <wp:effectExtent l="0" t="0" r="6350" b="508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6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7DFA" w:rsidRPr="008C7DFA" w:rsidRDefault="008C7DFA" w:rsidP="008C7DFA">
          <w:pPr>
            <w:spacing w:after="0"/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съюз</w:t>
          </w:r>
          <w:proofErr w:type="spellEnd"/>
        </w:p>
        <w:p w:rsidR="008C7DFA" w:rsidRPr="00576BFA" w:rsidRDefault="008C7DFA" w:rsidP="008C7DFA">
          <w:pPr>
            <w:spacing w:after="0"/>
            <w:jc w:val="center"/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структурни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и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инвестиционни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фондове</w:t>
          </w:r>
          <w:proofErr w:type="spellEnd"/>
        </w:p>
      </w:tc>
    </w:tr>
  </w:tbl>
  <w:p w:rsidR="008C7DFA" w:rsidRDefault="008C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86"/>
    <w:multiLevelType w:val="hybridMultilevel"/>
    <w:tmpl w:val="CEBCA84E"/>
    <w:lvl w:ilvl="0" w:tplc="4FC22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91E"/>
    <w:multiLevelType w:val="multilevel"/>
    <w:tmpl w:val="D8E66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0A4A"/>
    <w:multiLevelType w:val="hybridMultilevel"/>
    <w:tmpl w:val="6A361340"/>
    <w:lvl w:ilvl="0" w:tplc="A2506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F51B5"/>
    <w:multiLevelType w:val="hybridMultilevel"/>
    <w:tmpl w:val="DC6E2B54"/>
    <w:lvl w:ilvl="0" w:tplc="5C8E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57024"/>
    <w:multiLevelType w:val="hybridMultilevel"/>
    <w:tmpl w:val="C2A26396"/>
    <w:lvl w:ilvl="0" w:tplc="95F6653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8FA"/>
    <w:multiLevelType w:val="hybridMultilevel"/>
    <w:tmpl w:val="C658D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76915"/>
    <w:multiLevelType w:val="hybridMultilevel"/>
    <w:tmpl w:val="8BC2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3F86"/>
    <w:multiLevelType w:val="hybridMultilevel"/>
    <w:tmpl w:val="F5100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72B2"/>
    <w:multiLevelType w:val="multilevel"/>
    <w:tmpl w:val="AF1EAD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B458EA"/>
    <w:multiLevelType w:val="hybridMultilevel"/>
    <w:tmpl w:val="A57E76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9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5"/>
  </w:num>
  <w:num w:numId="16">
    <w:abstractNumId w:val="10"/>
  </w:num>
  <w:num w:numId="17">
    <w:abstractNumId w:val="6"/>
  </w:num>
  <w:num w:numId="18">
    <w:abstractNumId w:val="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95C"/>
    <w:rsid w:val="00033F1C"/>
    <w:rsid w:val="00066570"/>
    <w:rsid w:val="00070C5D"/>
    <w:rsid w:val="00085B52"/>
    <w:rsid w:val="0009301D"/>
    <w:rsid w:val="00095ED0"/>
    <w:rsid w:val="000A0E75"/>
    <w:rsid w:val="000A1D3D"/>
    <w:rsid w:val="000A2771"/>
    <w:rsid w:val="000A3662"/>
    <w:rsid w:val="000D330A"/>
    <w:rsid w:val="000F5412"/>
    <w:rsid w:val="000F69B4"/>
    <w:rsid w:val="00110FD1"/>
    <w:rsid w:val="0011229E"/>
    <w:rsid w:val="00112AC3"/>
    <w:rsid w:val="001161CB"/>
    <w:rsid w:val="00117C09"/>
    <w:rsid w:val="001320A2"/>
    <w:rsid w:val="00133761"/>
    <w:rsid w:val="00143538"/>
    <w:rsid w:val="001570E1"/>
    <w:rsid w:val="001647E5"/>
    <w:rsid w:val="00193F12"/>
    <w:rsid w:val="0019695A"/>
    <w:rsid w:val="001A5D5C"/>
    <w:rsid w:val="001A68DD"/>
    <w:rsid w:val="001C40FA"/>
    <w:rsid w:val="001F26EC"/>
    <w:rsid w:val="001F6B34"/>
    <w:rsid w:val="00204895"/>
    <w:rsid w:val="00215FE0"/>
    <w:rsid w:val="00245A47"/>
    <w:rsid w:val="00245C88"/>
    <w:rsid w:val="00253735"/>
    <w:rsid w:val="00263EF2"/>
    <w:rsid w:val="00267C1F"/>
    <w:rsid w:val="002703BD"/>
    <w:rsid w:val="0027774C"/>
    <w:rsid w:val="00283782"/>
    <w:rsid w:val="002A3C3C"/>
    <w:rsid w:val="002C62CD"/>
    <w:rsid w:val="002D3C5D"/>
    <w:rsid w:val="002E643A"/>
    <w:rsid w:val="002F1043"/>
    <w:rsid w:val="002F1D11"/>
    <w:rsid w:val="002F68EB"/>
    <w:rsid w:val="00307F8E"/>
    <w:rsid w:val="00325EFD"/>
    <w:rsid w:val="00326218"/>
    <w:rsid w:val="00340E45"/>
    <w:rsid w:val="0037262B"/>
    <w:rsid w:val="003742DB"/>
    <w:rsid w:val="0037528A"/>
    <w:rsid w:val="0038358A"/>
    <w:rsid w:val="003A0482"/>
    <w:rsid w:val="003A1BA2"/>
    <w:rsid w:val="003C0C67"/>
    <w:rsid w:val="003D4F51"/>
    <w:rsid w:val="003E1AA2"/>
    <w:rsid w:val="003E748C"/>
    <w:rsid w:val="003F26DF"/>
    <w:rsid w:val="003F6FDA"/>
    <w:rsid w:val="00411E27"/>
    <w:rsid w:val="00453FCD"/>
    <w:rsid w:val="004678F4"/>
    <w:rsid w:val="004A6F82"/>
    <w:rsid w:val="004B296F"/>
    <w:rsid w:val="004B74F2"/>
    <w:rsid w:val="004D109F"/>
    <w:rsid w:val="004D5537"/>
    <w:rsid w:val="004D675F"/>
    <w:rsid w:val="004F03CD"/>
    <w:rsid w:val="004F174B"/>
    <w:rsid w:val="004F34CD"/>
    <w:rsid w:val="004F4D05"/>
    <w:rsid w:val="00503294"/>
    <w:rsid w:val="00511A0B"/>
    <w:rsid w:val="005217CE"/>
    <w:rsid w:val="00521A2F"/>
    <w:rsid w:val="005250D9"/>
    <w:rsid w:val="00525EEA"/>
    <w:rsid w:val="00537A30"/>
    <w:rsid w:val="0054070B"/>
    <w:rsid w:val="0054659F"/>
    <w:rsid w:val="00547DF4"/>
    <w:rsid w:val="0055490B"/>
    <w:rsid w:val="0057554F"/>
    <w:rsid w:val="00581B1F"/>
    <w:rsid w:val="00596D42"/>
    <w:rsid w:val="005F3C9D"/>
    <w:rsid w:val="005F4CFE"/>
    <w:rsid w:val="005F66BE"/>
    <w:rsid w:val="00603959"/>
    <w:rsid w:val="00627C91"/>
    <w:rsid w:val="0065168D"/>
    <w:rsid w:val="00651FE8"/>
    <w:rsid w:val="0066144C"/>
    <w:rsid w:val="006636A8"/>
    <w:rsid w:val="00667AD4"/>
    <w:rsid w:val="00671C8F"/>
    <w:rsid w:val="00671EAA"/>
    <w:rsid w:val="00682DAF"/>
    <w:rsid w:val="00694225"/>
    <w:rsid w:val="006B21A2"/>
    <w:rsid w:val="006B761E"/>
    <w:rsid w:val="006C34E9"/>
    <w:rsid w:val="006C3F3B"/>
    <w:rsid w:val="006F2A30"/>
    <w:rsid w:val="006F2E7A"/>
    <w:rsid w:val="006F5E8D"/>
    <w:rsid w:val="00707559"/>
    <w:rsid w:val="00716F94"/>
    <w:rsid w:val="00723376"/>
    <w:rsid w:val="007266DE"/>
    <w:rsid w:val="007327F3"/>
    <w:rsid w:val="007452B2"/>
    <w:rsid w:val="00757CDC"/>
    <w:rsid w:val="007612FA"/>
    <w:rsid w:val="007A5092"/>
    <w:rsid w:val="007A5C7E"/>
    <w:rsid w:val="007B177B"/>
    <w:rsid w:val="007C52FD"/>
    <w:rsid w:val="007F2397"/>
    <w:rsid w:val="007F2682"/>
    <w:rsid w:val="007F6FA3"/>
    <w:rsid w:val="00802BF8"/>
    <w:rsid w:val="00817971"/>
    <w:rsid w:val="008257F1"/>
    <w:rsid w:val="00830A20"/>
    <w:rsid w:val="00833EEA"/>
    <w:rsid w:val="008357E1"/>
    <w:rsid w:val="00845A77"/>
    <w:rsid w:val="00845FE0"/>
    <w:rsid w:val="00890199"/>
    <w:rsid w:val="008B074D"/>
    <w:rsid w:val="008C432B"/>
    <w:rsid w:val="008C7DFA"/>
    <w:rsid w:val="008D049A"/>
    <w:rsid w:val="008D7C46"/>
    <w:rsid w:val="008E1324"/>
    <w:rsid w:val="008F6D42"/>
    <w:rsid w:val="00904BB1"/>
    <w:rsid w:val="0091256C"/>
    <w:rsid w:val="00925DA7"/>
    <w:rsid w:val="009319DC"/>
    <w:rsid w:val="00932C00"/>
    <w:rsid w:val="00944624"/>
    <w:rsid w:val="00956E92"/>
    <w:rsid w:val="009615D0"/>
    <w:rsid w:val="00967C8E"/>
    <w:rsid w:val="00976EE8"/>
    <w:rsid w:val="009800D2"/>
    <w:rsid w:val="00983039"/>
    <w:rsid w:val="009A5C05"/>
    <w:rsid w:val="009B3EC8"/>
    <w:rsid w:val="009E63FD"/>
    <w:rsid w:val="00A07B5D"/>
    <w:rsid w:val="00A15704"/>
    <w:rsid w:val="00A41E15"/>
    <w:rsid w:val="00A42CD9"/>
    <w:rsid w:val="00A45BBE"/>
    <w:rsid w:val="00A45C30"/>
    <w:rsid w:val="00A54806"/>
    <w:rsid w:val="00A91278"/>
    <w:rsid w:val="00AA1CD5"/>
    <w:rsid w:val="00AE62BC"/>
    <w:rsid w:val="00AF07EA"/>
    <w:rsid w:val="00AF35C2"/>
    <w:rsid w:val="00B10BAB"/>
    <w:rsid w:val="00B374CE"/>
    <w:rsid w:val="00B44333"/>
    <w:rsid w:val="00B54F82"/>
    <w:rsid w:val="00B66AAC"/>
    <w:rsid w:val="00B67AAA"/>
    <w:rsid w:val="00B7295A"/>
    <w:rsid w:val="00B803E7"/>
    <w:rsid w:val="00B91A29"/>
    <w:rsid w:val="00BA1924"/>
    <w:rsid w:val="00BA4CA9"/>
    <w:rsid w:val="00BB2039"/>
    <w:rsid w:val="00BB7CED"/>
    <w:rsid w:val="00BC395A"/>
    <w:rsid w:val="00BD503E"/>
    <w:rsid w:val="00BD650B"/>
    <w:rsid w:val="00C135EF"/>
    <w:rsid w:val="00C212EE"/>
    <w:rsid w:val="00C57145"/>
    <w:rsid w:val="00C61751"/>
    <w:rsid w:val="00C71959"/>
    <w:rsid w:val="00C72D06"/>
    <w:rsid w:val="00C83A17"/>
    <w:rsid w:val="00C90038"/>
    <w:rsid w:val="00C9565E"/>
    <w:rsid w:val="00CA5782"/>
    <w:rsid w:val="00CB0740"/>
    <w:rsid w:val="00CB773E"/>
    <w:rsid w:val="00CD1C56"/>
    <w:rsid w:val="00CD20DD"/>
    <w:rsid w:val="00CD3A5B"/>
    <w:rsid w:val="00CE045C"/>
    <w:rsid w:val="00CF39FC"/>
    <w:rsid w:val="00D03CF3"/>
    <w:rsid w:val="00D07E87"/>
    <w:rsid w:val="00D30222"/>
    <w:rsid w:val="00D36B10"/>
    <w:rsid w:val="00D36E8A"/>
    <w:rsid w:val="00D4331B"/>
    <w:rsid w:val="00D446C5"/>
    <w:rsid w:val="00D47E9A"/>
    <w:rsid w:val="00D623A1"/>
    <w:rsid w:val="00D7651F"/>
    <w:rsid w:val="00D959DB"/>
    <w:rsid w:val="00D96902"/>
    <w:rsid w:val="00D97BEA"/>
    <w:rsid w:val="00DC4056"/>
    <w:rsid w:val="00DC72DA"/>
    <w:rsid w:val="00DC788F"/>
    <w:rsid w:val="00DE4542"/>
    <w:rsid w:val="00DF5044"/>
    <w:rsid w:val="00E07C5D"/>
    <w:rsid w:val="00E21D7D"/>
    <w:rsid w:val="00E270FD"/>
    <w:rsid w:val="00E3244B"/>
    <w:rsid w:val="00E37118"/>
    <w:rsid w:val="00E46D34"/>
    <w:rsid w:val="00E70EC7"/>
    <w:rsid w:val="00E80400"/>
    <w:rsid w:val="00E85823"/>
    <w:rsid w:val="00E97365"/>
    <w:rsid w:val="00EA3622"/>
    <w:rsid w:val="00EA6FEE"/>
    <w:rsid w:val="00EB2595"/>
    <w:rsid w:val="00EB4F44"/>
    <w:rsid w:val="00ED6B08"/>
    <w:rsid w:val="00EF4BBF"/>
    <w:rsid w:val="00F06F8E"/>
    <w:rsid w:val="00F17607"/>
    <w:rsid w:val="00F25DBB"/>
    <w:rsid w:val="00F26667"/>
    <w:rsid w:val="00F26D9B"/>
    <w:rsid w:val="00F2781D"/>
    <w:rsid w:val="00F4133B"/>
    <w:rsid w:val="00F84AD0"/>
    <w:rsid w:val="00FA5CA8"/>
    <w:rsid w:val="00FB47F3"/>
    <w:rsid w:val="00FC7B94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5E9A5"/>
  <w15:docId w15:val="{97A0D2DE-5CA1-4DC6-BEF9-DB53A4D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40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F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C7DF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BodyText"/>
    <w:rsid w:val="008C7DFA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D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DFA"/>
  </w:style>
  <w:style w:type="paragraph" w:customStyle="1" w:styleId="CharChar0">
    <w:name w:val="Char Char"/>
    <w:basedOn w:val="Normal"/>
    <w:rsid w:val="00904B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267C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8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5823"/>
    <w:rPr>
      <w:color w:val="0000FF"/>
      <w:u w:val="single"/>
    </w:rPr>
  </w:style>
  <w:style w:type="character" w:customStyle="1" w:styleId="Picturecaption">
    <w:name w:val="Picture caption_"/>
    <w:basedOn w:val="DefaultParagraphFont"/>
    <w:link w:val="Picturecaption0"/>
    <w:rsid w:val="00110FD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110F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3E60-085D-45C7-A4E4-B943CC66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User</cp:lastModifiedBy>
  <cp:revision>2</cp:revision>
  <dcterms:created xsi:type="dcterms:W3CDTF">2019-09-19T13:18:00Z</dcterms:created>
  <dcterms:modified xsi:type="dcterms:W3CDTF">2019-09-19T13:18:00Z</dcterms:modified>
</cp:coreProperties>
</file>